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周谷堆大兴国际物流园（国家骨干冷链物流基地项目）环保治理—市政给排水综合改造工程招标工程量清单、最高投标限价</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宋体" w:hAnsi="宋体" w:eastAsia="宋体" w:cs="宋体"/>
          <w:sz w:val="44"/>
          <w:szCs w:val="44"/>
          <w:highlight w:val="none"/>
        </w:rPr>
      </w:pPr>
      <w:r>
        <w:rPr>
          <w:rFonts w:hint="eastAsia" w:ascii="方正小标宋简体" w:hAnsi="方正小标宋简体" w:eastAsia="方正小标宋简体" w:cs="方正小标宋简体"/>
          <w:sz w:val="44"/>
          <w:szCs w:val="44"/>
          <w:highlight w:val="none"/>
        </w:rPr>
        <w:t>编制补疑</w:t>
      </w:r>
    </w:p>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楷体_GB2312" w:hAnsi="楷体_GB2312" w:eastAsia="楷体_GB2312" w:cs="楷体_GB2312"/>
          <w:b/>
          <w:bCs/>
          <w:color w:val="FF0000"/>
          <w:kern w:val="0"/>
          <w:sz w:val="32"/>
          <w:szCs w:val="32"/>
          <w:highlight w:val="none"/>
        </w:rPr>
      </w:pPr>
      <w:r>
        <w:rPr>
          <w:rFonts w:hint="eastAsia" w:ascii="楷体_GB2312" w:hAnsi="楷体_GB2312" w:eastAsia="楷体_GB2312" w:cs="楷体_GB2312"/>
          <w:b/>
          <w:bCs/>
          <w:sz w:val="32"/>
          <w:szCs w:val="32"/>
          <w:highlight w:val="none"/>
        </w:rPr>
        <w:t>项目编号：</w:t>
      </w:r>
      <w:r>
        <w:rPr>
          <w:rFonts w:hint="eastAsia" w:ascii="楷体_GB2312" w:hAnsi="楷体_GB2312" w:eastAsia="楷体_GB2312" w:cs="楷体_GB2312"/>
          <w:b/>
          <w:bCs/>
          <w:color w:val="FF0000"/>
          <w:sz w:val="32"/>
          <w:szCs w:val="32"/>
          <w:highlight w:val="none"/>
        </w:rPr>
        <w:t>×××××××××</w:t>
      </w:r>
    </w:p>
    <w:p>
      <w:pPr>
        <w:pStyle w:val="2"/>
        <w:pageBreakBefore w:val="0"/>
        <w:kinsoku/>
        <w:wordWrap/>
        <w:overflowPunct/>
        <w:topLinePunct w:val="0"/>
        <w:autoSpaceDE/>
        <w:autoSpaceDN/>
        <w:bidi w:val="0"/>
        <w:spacing w:line="560" w:lineRule="exact"/>
        <w:ind w:firstLine="560"/>
        <w:textAlignment w:val="auto"/>
        <w:rPr>
          <w:rFonts w:hint="eastAsia" w:ascii="仿宋" w:hAnsi="仿宋" w:eastAsia="仿宋" w:cs="仿宋"/>
          <w:b/>
          <w:bCs w:val="0"/>
          <w:color w:val="auto"/>
          <w:sz w:val="28"/>
          <w:szCs w:val="28"/>
          <w:highlight w:val="none"/>
          <w:u w:val="single"/>
        </w:rPr>
      </w:pPr>
      <w:r>
        <w:rPr>
          <w:rFonts w:hint="eastAsia" w:ascii="仿宋" w:hAnsi="仿宋" w:eastAsia="仿宋" w:cs="仿宋"/>
          <w:b/>
          <w:bCs w:val="0"/>
          <w:color w:val="auto"/>
          <w:sz w:val="28"/>
          <w:szCs w:val="28"/>
          <w:highlight w:val="none"/>
        </w:rPr>
        <w:t>一、重要提示</w:t>
      </w:r>
    </w:p>
    <w:p>
      <w:pPr>
        <w:pStyle w:val="14"/>
        <w:pageBreakBefore w:val="0"/>
        <w:kinsoku/>
        <w:wordWrap/>
        <w:overflowPunct/>
        <w:topLinePunct w:val="0"/>
        <w:autoSpaceDE/>
        <w:autoSpaceDN/>
        <w:bidi w:val="0"/>
        <w:spacing w:beforeAutospacing="0" w:afterAutospacing="0" w:line="560" w:lineRule="exact"/>
        <w:ind w:firstLine="560"/>
        <w:textAlignment w:val="auto"/>
        <w:rPr>
          <w:rFonts w:hint="eastAsia" w:ascii="仿宋" w:hAnsi="仿宋" w:eastAsia="仿宋" w:cs="仿宋"/>
          <w:sz w:val="28"/>
          <w:szCs w:val="28"/>
          <w:highlight w:val="none"/>
          <w:shd w:val="clear" w:color="auto" w:fill="FFFFFF" w:themeFill="background1"/>
        </w:rPr>
      </w:pPr>
      <w:r>
        <w:rPr>
          <w:rFonts w:hint="eastAsia" w:ascii="仿宋" w:hAnsi="仿宋" w:eastAsia="仿宋" w:cs="仿宋"/>
          <w:sz w:val="28"/>
          <w:szCs w:val="28"/>
          <w:highlight w:val="none"/>
          <w:shd w:val="clear" w:color="auto" w:fill="FFFFFF" w:themeFill="background1"/>
        </w:rPr>
        <w:t>本工程措施项目费率和不可竞争费率取费按“市政工程取费标准”中“道路、排水、桥涵工程”的费率计取；其中挖或填土石方量大于5000m</w:t>
      </w:r>
      <w:r>
        <w:rPr>
          <w:rFonts w:hint="eastAsia" w:ascii="仿宋" w:hAnsi="仿宋" w:eastAsia="仿宋" w:cs="仿宋"/>
          <w:sz w:val="28"/>
          <w:szCs w:val="28"/>
          <w:highlight w:val="none"/>
          <w:shd w:val="clear" w:color="auto" w:fill="FFFFFF" w:themeFill="background1"/>
          <w:vertAlign w:val="superscript"/>
        </w:rPr>
        <w:t>3</w:t>
      </w:r>
      <w:r>
        <w:rPr>
          <w:rFonts w:hint="eastAsia" w:ascii="仿宋" w:hAnsi="仿宋" w:eastAsia="仿宋" w:cs="仿宋"/>
          <w:sz w:val="28"/>
          <w:szCs w:val="28"/>
          <w:highlight w:val="none"/>
          <w:shd w:val="clear" w:color="auto" w:fill="FFFFFF" w:themeFill="background1"/>
        </w:rPr>
        <w:t xml:space="preserve">的大型土石方工程，其措施项目费率和不可竞争费率按市政工程相应费率乘0.6系数。  </w:t>
      </w:r>
    </w:p>
    <w:p>
      <w:pPr>
        <w:pStyle w:val="2"/>
        <w:pageBreakBefore w:val="0"/>
        <w:kinsoku/>
        <w:wordWrap/>
        <w:overflowPunct/>
        <w:topLinePunct w:val="0"/>
        <w:autoSpaceDE/>
        <w:autoSpaceDN/>
        <w:bidi w:val="0"/>
        <w:spacing w:line="560" w:lineRule="exact"/>
        <w:ind w:firstLine="560"/>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二、招标需求</w:t>
      </w:r>
    </w:p>
    <w:p>
      <w:pPr>
        <w:pStyle w:val="3"/>
        <w:pageBreakBefore w:val="0"/>
        <w:kinsoku/>
        <w:wordWrap/>
        <w:overflowPunct/>
        <w:topLinePunct w:val="0"/>
        <w:autoSpaceDE/>
        <w:autoSpaceDN/>
        <w:bidi w:val="0"/>
        <w:spacing w:line="560" w:lineRule="exact"/>
        <w:ind w:firstLine="562"/>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（一）招标范围</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周谷堆大兴国际物流园（国家骨干冷链物流基地项目）环保治理—市政给排水综合改造工程，位于合肥市</w:t>
      </w:r>
      <w:r>
        <w:rPr>
          <w:rFonts w:hint="eastAsia" w:ascii="仿宋" w:hAnsi="仿宋" w:eastAsia="仿宋" w:cs="仿宋"/>
          <w:bCs/>
          <w:sz w:val="28"/>
          <w:szCs w:val="28"/>
          <w:highlight w:val="none"/>
          <w:lang w:val="en-US" w:eastAsia="zh-CN"/>
        </w:rPr>
        <w:t>瑶海区大兴镇</w:t>
      </w:r>
      <w:r>
        <w:rPr>
          <w:rFonts w:hint="eastAsia" w:ascii="仿宋" w:hAnsi="仿宋" w:eastAsia="仿宋" w:cs="仿宋"/>
          <w:bCs/>
          <w:sz w:val="28"/>
          <w:szCs w:val="28"/>
          <w:highlight w:val="none"/>
        </w:rPr>
        <w:t>百大周谷堆国际物流园内，项目</w:t>
      </w:r>
      <w:r>
        <w:rPr>
          <w:rFonts w:hint="eastAsia" w:ascii="仿宋" w:hAnsi="仿宋" w:eastAsia="仿宋" w:cs="仿宋"/>
          <w:bCs/>
          <w:sz w:val="28"/>
          <w:szCs w:val="28"/>
          <w:highlight w:val="none"/>
          <w:lang w:val="en-US" w:eastAsia="zh-CN"/>
        </w:rPr>
        <w:t>红线</w:t>
      </w:r>
      <w:r>
        <w:rPr>
          <w:rFonts w:hint="eastAsia" w:ascii="仿宋" w:hAnsi="仿宋" w:eastAsia="仿宋" w:cs="仿宋"/>
          <w:bCs/>
          <w:sz w:val="28"/>
          <w:szCs w:val="28"/>
          <w:highlight w:val="none"/>
        </w:rPr>
        <w:t>面积约64.21万m</w:t>
      </w:r>
      <w:r>
        <w:rPr>
          <w:rFonts w:hint="eastAsia" w:ascii="仿宋" w:hAnsi="仿宋" w:eastAsia="仿宋" w:cs="仿宋"/>
          <w:bCs/>
          <w:sz w:val="28"/>
          <w:szCs w:val="28"/>
          <w:highlight w:val="none"/>
          <w:vertAlign w:val="superscript"/>
        </w:rPr>
        <w:t>2</w:t>
      </w:r>
      <w:r>
        <w:rPr>
          <w:rFonts w:hint="eastAsia" w:ascii="仿宋" w:hAnsi="仿宋" w:eastAsia="仿宋" w:cs="仿宋"/>
          <w:bCs/>
          <w:sz w:val="28"/>
          <w:szCs w:val="28"/>
          <w:highlight w:val="none"/>
        </w:rPr>
        <w:t>,主要建设范围包括</w:t>
      </w:r>
      <w:r>
        <w:rPr>
          <w:rFonts w:hint="eastAsia" w:ascii="仿宋" w:hAnsi="仿宋" w:eastAsia="仿宋" w:cs="仿宋"/>
          <w:bCs/>
          <w:sz w:val="28"/>
          <w:szCs w:val="28"/>
          <w:highlight w:val="none"/>
          <w:lang w:val="en-US" w:eastAsia="zh-CN"/>
        </w:rPr>
        <w:t>副食区、蔬菜区、水果区、粮油冻品区、水产区、肉食区以及商业楼前广场等。</w:t>
      </w:r>
      <w:r>
        <w:rPr>
          <w:rFonts w:hint="eastAsia" w:ascii="仿宋" w:hAnsi="仿宋" w:eastAsia="仿宋" w:cs="仿宋"/>
          <w:bCs/>
          <w:sz w:val="28"/>
          <w:szCs w:val="28"/>
          <w:highlight w:val="none"/>
        </w:rPr>
        <w:t xml:space="preserve"> </w:t>
      </w:r>
    </w:p>
    <w:p>
      <w:pPr>
        <w:pageBreakBefore w:val="0"/>
        <w:kinsoku/>
        <w:wordWrap/>
        <w:overflowPunct/>
        <w:topLinePunct w:val="0"/>
        <w:autoSpaceDE/>
        <w:autoSpaceDN/>
        <w:bidi w:val="0"/>
        <w:spacing w:line="560" w:lineRule="exact"/>
        <w:ind w:firstLine="560"/>
        <w:textAlignment w:val="auto"/>
        <w:outlineLvl w:val="2"/>
        <w:rPr>
          <w:rFonts w:hint="eastAsia" w:ascii="仿宋" w:hAnsi="仿宋" w:eastAsia="仿宋" w:cs="仿宋"/>
          <w:sz w:val="28"/>
          <w:szCs w:val="28"/>
          <w:highlight w:val="none"/>
        </w:rPr>
      </w:pPr>
      <w:r>
        <w:rPr>
          <w:rFonts w:hint="eastAsia" w:ascii="仿宋" w:hAnsi="仿宋" w:eastAsia="仿宋" w:cs="仿宋"/>
          <w:sz w:val="28"/>
          <w:szCs w:val="28"/>
          <w:highlight w:val="none"/>
        </w:rPr>
        <w:t>1.土</w:t>
      </w:r>
      <w:r>
        <w:rPr>
          <w:rFonts w:hint="eastAsia" w:ascii="仿宋" w:hAnsi="仿宋" w:eastAsia="仿宋" w:cs="仿宋"/>
          <w:sz w:val="28"/>
          <w:szCs w:val="28"/>
          <w:highlight w:val="none"/>
          <w:lang w:val="en-US" w:eastAsia="zh-CN"/>
        </w:rPr>
        <w:t>石</w:t>
      </w:r>
      <w:r>
        <w:rPr>
          <w:rFonts w:hint="eastAsia" w:ascii="仿宋" w:hAnsi="仿宋" w:eastAsia="仿宋" w:cs="仿宋"/>
          <w:sz w:val="28"/>
          <w:szCs w:val="28"/>
          <w:highlight w:val="none"/>
        </w:rPr>
        <w:t>方工程：土石方挖、运、填等。</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333333"/>
          <w:sz w:val="28"/>
          <w:szCs w:val="28"/>
          <w:highlight w:val="none"/>
        </w:rPr>
      </w:pPr>
      <w:r>
        <w:rPr>
          <w:rFonts w:hint="eastAsia" w:ascii="仿宋" w:hAnsi="仿宋" w:eastAsia="仿宋" w:cs="仿宋"/>
          <w:color w:val="333333"/>
          <w:sz w:val="28"/>
          <w:szCs w:val="28"/>
          <w:highlight w:val="none"/>
        </w:rPr>
        <w:t>2.排水工程（含商业楼前管线附属工程）：</w:t>
      </w:r>
      <w:r>
        <w:rPr>
          <w:rFonts w:hint="eastAsia" w:ascii="仿宋" w:hAnsi="仿宋" w:eastAsia="仿宋" w:cs="仿宋"/>
          <w:color w:val="333333"/>
          <w:sz w:val="28"/>
          <w:szCs w:val="28"/>
          <w:highlight w:val="none"/>
          <w:lang w:val="en-US" w:eastAsia="zh-CN"/>
        </w:rPr>
        <w:t>雨污水管网改造约24km，内容包括</w:t>
      </w:r>
      <w:r>
        <w:rPr>
          <w:rFonts w:hint="eastAsia" w:ascii="仿宋" w:hAnsi="仿宋" w:eastAsia="仿宋" w:cs="仿宋"/>
          <w:color w:val="333333"/>
          <w:sz w:val="28"/>
          <w:szCs w:val="28"/>
          <w:highlight w:val="none"/>
        </w:rPr>
        <w:t>雨污水管道、雨污水检查井、雨水口、雨水口连接管道</w:t>
      </w:r>
      <w:r>
        <w:rPr>
          <w:rFonts w:hint="eastAsia" w:ascii="仿宋" w:hAnsi="仿宋" w:eastAsia="仿宋" w:cs="仿宋"/>
          <w:color w:val="333333"/>
          <w:sz w:val="28"/>
          <w:szCs w:val="28"/>
          <w:highlight w:val="none"/>
          <w:lang w:val="en-US" w:eastAsia="zh-CN"/>
        </w:rPr>
        <w:t>拆除重建</w:t>
      </w:r>
      <w:r>
        <w:rPr>
          <w:rFonts w:hint="eastAsia" w:ascii="仿宋" w:hAnsi="仿宋" w:eastAsia="仿宋" w:cs="仿宋"/>
          <w:color w:val="333333"/>
          <w:sz w:val="28"/>
          <w:szCs w:val="28"/>
          <w:highlight w:val="none"/>
          <w:lang w:eastAsia="zh-CN"/>
        </w:rPr>
        <w:t>，</w:t>
      </w:r>
      <w:r>
        <w:rPr>
          <w:rFonts w:hint="eastAsia" w:ascii="仿宋" w:hAnsi="仿宋" w:eastAsia="仿宋" w:cs="仿宋"/>
          <w:color w:val="333333"/>
          <w:sz w:val="28"/>
          <w:szCs w:val="28"/>
          <w:highlight w:val="none"/>
          <w:lang w:val="en-US" w:eastAsia="zh-CN"/>
        </w:rPr>
        <w:t>以及</w:t>
      </w:r>
      <w:r>
        <w:rPr>
          <w:rFonts w:hint="eastAsia" w:ascii="仿宋" w:hAnsi="仿宋" w:eastAsia="仿宋" w:cs="仿宋"/>
          <w:color w:val="333333"/>
          <w:sz w:val="28"/>
          <w:szCs w:val="28"/>
          <w:highlight w:val="none"/>
        </w:rPr>
        <w:t>商业楼前的供水管道、消防管道翻新修复等。</w:t>
      </w:r>
    </w:p>
    <w:p>
      <w:pPr>
        <w:pageBreakBefore w:val="0"/>
        <w:kinsoku/>
        <w:wordWrap/>
        <w:overflowPunct/>
        <w:topLinePunct w:val="0"/>
        <w:autoSpaceDE/>
        <w:autoSpaceDN/>
        <w:bidi w:val="0"/>
        <w:spacing w:line="560" w:lineRule="exact"/>
        <w:ind w:firstLine="560"/>
        <w:textAlignment w:val="auto"/>
        <w:outlineLvl w:val="2"/>
        <w:rPr>
          <w:rFonts w:hint="eastAsia" w:ascii="仿宋" w:hAnsi="仿宋" w:eastAsia="仿宋" w:cs="仿宋"/>
          <w:sz w:val="28"/>
          <w:szCs w:val="28"/>
          <w:highlight w:val="none"/>
        </w:rPr>
      </w:pPr>
      <w:r>
        <w:rPr>
          <w:rFonts w:hint="eastAsia" w:ascii="仿宋" w:hAnsi="仿宋" w:eastAsia="仿宋" w:cs="仿宋"/>
          <w:sz w:val="28"/>
          <w:szCs w:val="28"/>
          <w:highlight w:val="none"/>
        </w:rPr>
        <w:t>3.道路工程：</w:t>
      </w:r>
      <w:r>
        <w:rPr>
          <w:rFonts w:hint="eastAsia" w:ascii="仿宋" w:hAnsi="仿宋" w:eastAsia="仿宋" w:cs="仿宋"/>
          <w:sz w:val="28"/>
          <w:szCs w:val="28"/>
          <w:highlight w:val="none"/>
          <w:lang w:val="en-US" w:eastAsia="zh-CN"/>
        </w:rPr>
        <w:t>广场破除恢复约3.2万</w:t>
      </w:r>
      <w:r>
        <w:rPr>
          <w:rFonts w:hint="eastAsia" w:ascii="仿宋" w:hAnsi="仿宋" w:eastAsia="仿宋" w:cs="仿宋"/>
          <w:bCs/>
          <w:sz w:val="28"/>
          <w:szCs w:val="28"/>
          <w:highlight w:val="none"/>
        </w:rPr>
        <w:t>m</w:t>
      </w:r>
      <w:r>
        <w:rPr>
          <w:rFonts w:hint="eastAsia" w:ascii="仿宋" w:hAnsi="仿宋" w:eastAsia="仿宋" w:cs="仿宋"/>
          <w:bCs/>
          <w:sz w:val="28"/>
          <w:szCs w:val="28"/>
          <w:highlight w:val="none"/>
          <w:vertAlign w:val="superscript"/>
        </w:rPr>
        <w:t>2</w:t>
      </w:r>
      <w:r>
        <w:rPr>
          <w:rFonts w:hint="eastAsia" w:ascii="仿宋" w:hAnsi="仿宋" w:eastAsia="仿宋" w:cs="仿宋"/>
          <w:bCs/>
          <w:sz w:val="28"/>
          <w:szCs w:val="28"/>
          <w:highlight w:val="none"/>
          <w:vertAlign w:val="baseline"/>
          <w:lang w:eastAsia="zh-CN"/>
        </w:rPr>
        <w:t>，</w:t>
      </w:r>
      <w:r>
        <w:rPr>
          <w:rFonts w:hint="eastAsia" w:ascii="仿宋" w:hAnsi="仿宋" w:eastAsia="仿宋" w:cs="仿宋"/>
          <w:sz w:val="28"/>
          <w:szCs w:val="28"/>
          <w:highlight w:val="none"/>
          <w:lang w:val="en-US" w:eastAsia="zh-CN"/>
        </w:rPr>
        <w:t>内容包括</w:t>
      </w:r>
      <w:r>
        <w:rPr>
          <w:rFonts w:hint="eastAsia" w:ascii="仿宋" w:hAnsi="仿宋" w:eastAsia="仿宋" w:cs="仿宋"/>
          <w:sz w:val="28"/>
          <w:szCs w:val="28"/>
          <w:highlight w:val="none"/>
        </w:rPr>
        <w:t>广场路面及附属设施拆除</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新建</w:t>
      </w:r>
      <w:r>
        <w:rPr>
          <w:rFonts w:hint="eastAsia" w:ascii="仿宋" w:hAnsi="仿宋" w:eastAsia="仿宋" w:cs="仿宋"/>
          <w:sz w:val="28"/>
          <w:szCs w:val="28"/>
          <w:highlight w:val="none"/>
        </w:rPr>
        <w:t>沥青路面、停车位铺装、岗亭及护栏、标线等。</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4.建筑工程：1#、2#地下车库地坪及坡道防滑砂浆约</w:t>
      </w:r>
      <w:r>
        <w:rPr>
          <w:rFonts w:hint="eastAsia" w:ascii="仿宋" w:hAnsi="仿宋" w:eastAsia="仿宋" w:cs="仿宋"/>
          <w:sz w:val="28"/>
          <w:szCs w:val="28"/>
          <w:highlight w:val="none"/>
          <w:lang w:val="en-US" w:eastAsia="zh-CN"/>
        </w:rPr>
        <w:t>0.</w:t>
      </w:r>
      <w:r>
        <w:rPr>
          <w:rFonts w:hint="eastAsia" w:ascii="仿宋" w:hAnsi="仿宋" w:eastAsia="仿宋" w:cs="仿宋"/>
          <w:sz w:val="28"/>
          <w:szCs w:val="28"/>
          <w:highlight w:val="none"/>
        </w:rPr>
        <w:t>72</w:t>
      </w:r>
      <w:r>
        <w:rPr>
          <w:rFonts w:hint="eastAsia" w:ascii="仿宋" w:hAnsi="仿宋" w:eastAsia="仿宋" w:cs="仿宋"/>
          <w:sz w:val="28"/>
          <w:szCs w:val="28"/>
          <w:highlight w:val="none"/>
          <w:lang w:val="en-US" w:eastAsia="zh-CN"/>
        </w:rPr>
        <w:t>万</w:t>
      </w:r>
      <w:r>
        <w:rPr>
          <w:rFonts w:hint="eastAsia" w:ascii="仿宋" w:hAnsi="仿宋" w:eastAsia="仿宋" w:cs="仿宋"/>
          <w:sz w:val="28"/>
          <w:szCs w:val="28"/>
          <w:highlight w:val="none"/>
        </w:rPr>
        <w:t>m</w:t>
      </w:r>
      <w:r>
        <w:rPr>
          <w:rFonts w:hint="eastAsia" w:ascii="仿宋" w:hAnsi="仿宋" w:eastAsia="仿宋" w:cs="仿宋"/>
          <w:sz w:val="28"/>
          <w:szCs w:val="28"/>
          <w:highlight w:val="none"/>
          <w:vertAlign w:val="superscript"/>
        </w:rPr>
        <w:t>2</w:t>
      </w:r>
      <w:r>
        <w:rPr>
          <w:rFonts w:hint="eastAsia" w:ascii="仿宋" w:hAnsi="仿宋" w:eastAsia="仿宋" w:cs="仿宋"/>
          <w:sz w:val="28"/>
          <w:szCs w:val="28"/>
          <w:highlight w:val="none"/>
        </w:rPr>
        <w:t>拆除重建，地库护角板、标识、标线、车档更新，更换集水坑盖板、新建U形排水沟约1038m，2#楼东电梯厅内墙、顶面及地面翻新等。</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电动推拉棚</w:t>
      </w:r>
      <w:r>
        <w:rPr>
          <w:rFonts w:hint="eastAsia" w:ascii="仿宋" w:hAnsi="仿宋" w:eastAsia="仿宋" w:cs="仿宋"/>
          <w:color w:val="auto"/>
          <w:sz w:val="28"/>
          <w:szCs w:val="28"/>
          <w:highlight w:val="none"/>
        </w:rPr>
        <w:t>工程：</w:t>
      </w:r>
      <w:r>
        <w:rPr>
          <w:rFonts w:hint="eastAsia" w:ascii="仿宋" w:hAnsi="仿宋" w:eastAsia="仿宋" w:cs="仿宋"/>
          <w:color w:val="auto"/>
          <w:sz w:val="28"/>
          <w:szCs w:val="28"/>
          <w:highlight w:val="none"/>
          <w:lang w:val="en-US" w:eastAsia="zh-CN"/>
        </w:rPr>
        <w:t>共计</w:t>
      </w:r>
      <w:r>
        <w:rPr>
          <w:rFonts w:hint="eastAsia" w:ascii="仿宋" w:hAnsi="仿宋" w:eastAsia="仿宋" w:cs="仿宋"/>
          <w:color w:val="auto"/>
          <w:sz w:val="28"/>
          <w:szCs w:val="28"/>
          <w:highlight w:val="none"/>
        </w:rPr>
        <w:t>12座膜棚总面积</w:t>
      </w:r>
      <w:r>
        <w:rPr>
          <w:rFonts w:hint="eastAsia" w:ascii="仿宋" w:hAnsi="仿宋" w:eastAsia="仿宋" w:cs="仿宋"/>
          <w:color w:val="auto"/>
          <w:sz w:val="28"/>
          <w:szCs w:val="28"/>
          <w:highlight w:val="none"/>
          <w:lang w:val="en-US" w:eastAsia="zh-CN"/>
        </w:rPr>
        <w:t>约</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09</w:t>
      </w:r>
      <w:r>
        <w:rPr>
          <w:rFonts w:hint="eastAsia" w:ascii="仿宋" w:hAnsi="仿宋" w:eastAsia="仿宋" w:cs="仿宋"/>
          <w:color w:val="auto"/>
          <w:sz w:val="28"/>
          <w:szCs w:val="28"/>
          <w:highlight w:val="none"/>
          <w:lang w:val="en-US" w:eastAsia="zh-CN"/>
        </w:rPr>
        <w:t>万</w:t>
      </w:r>
      <w:r>
        <w:rPr>
          <w:rFonts w:hint="eastAsia" w:ascii="仿宋" w:hAnsi="仿宋" w:eastAsia="仿宋" w:cs="仿宋"/>
          <w:bCs/>
          <w:color w:val="auto"/>
          <w:sz w:val="28"/>
          <w:szCs w:val="28"/>
          <w:highlight w:val="none"/>
        </w:rPr>
        <w:t>m</w:t>
      </w:r>
      <w:r>
        <w:rPr>
          <w:rFonts w:hint="eastAsia" w:ascii="仿宋" w:hAnsi="仿宋" w:eastAsia="仿宋" w:cs="仿宋"/>
          <w:bCs/>
          <w:color w:val="auto"/>
          <w:sz w:val="28"/>
          <w:szCs w:val="28"/>
          <w:highlight w:val="none"/>
          <w:vertAlign w:val="superscript"/>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主要包括混凝土基础、钢结构、电动推拉棚等</w:t>
      </w:r>
      <w:r>
        <w:rPr>
          <w:rFonts w:hint="eastAsia" w:ascii="仿宋" w:hAnsi="仿宋" w:eastAsia="仿宋" w:cs="仿宋"/>
          <w:color w:val="auto"/>
          <w:sz w:val="28"/>
          <w:szCs w:val="28"/>
          <w:highlight w:val="none"/>
        </w:rPr>
        <w:t>。</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333333"/>
          <w:sz w:val="28"/>
          <w:szCs w:val="28"/>
          <w:highlight w:val="none"/>
        </w:rPr>
      </w:pPr>
      <w:r>
        <w:rPr>
          <w:rFonts w:hint="eastAsia" w:ascii="仿宋" w:hAnsi="仿宋" w:eastAsia="仿宋" w:cs="仿宋"/>
          <w:color w:val="auto"/>
          <w:sz w:val="28"/>
          <w:szCs w:val="28"/>
          <w:highlight w:val="none"/>
        </w:rPr>
        <w:t>6.配货大棚工程：</w:t>
      </w:r>
      <w:r>
        <w:rPr>
          <w:rFonts w:hint="eastAsia" w:ascii="仿宋" w:hAnsi="仿宋" w:eastAsia="仿宋" w:cs="仿宋"/>
          <w:color w:val="333333"/>
          <w:sz w:val="28"/>
          <w:szCs w:val="28"/>
          <w:highlight w:val="none"/>
        </w:rPr>
        <w:t>新建</w:t>
      </w:r>
      <w:r>
        <w:rPr>
          <w:rFonts w:hint="eastAsia" w:ascii="仿宋" w:hAnsi="仿宋" w:eastAsia="仿宋" w:cs="仿宋"/>
          <w:color w:val="333333"/>
          <w:sz w:val="28"/>
          <w:szCs w:val="28"/>
          <w:highlight w:val="none"/>
          <w:lang w:val="en-US" w:eastAsia="zh-CN"/>
        </w:rPr>
        <w:t>单层</w:t>
      </w:r>
      <w:r>
        <w:rPr>
          <w:rFonts w:hint="eastAsia" w:ascii="仿宋" w:hAnsi="仿宋" w:eastAsia="仿宋" w:cs="仿宋"/>
          <w:color w:val="333333"/>
          <w:sz w:val="28"/>
          <w:szCs w:val="28"/>
          <w:highlight w:val="none"/>
        </w:rPr>
        <w:t>钢结构配货大棚及钢结构雨棚，</w:t>
      </w:r>
      <w:r>
        <w:rPr>
          <w:rFonts w:hint="eastAsia" w:ascii="仿宋" w:hAnsi="仿宋" w:eastAsia="仿宋" w:cs="仿宋"/>
          <w:color w:val="333333"/>
          <w:sz w:val="28"/>
          <w:szCs w:val="28"/>
          <w:highlight w:val="none"/>
          <w:lang w:val="en-US" w:eastAsia="zh-CN"/>
        </w:rPr>
        <w:t>总面积约0.64万</w:t>
      </w:r>
      <w:r>
        <w:rPr>
          <w:rFonts w:hint="eastAsia" w:ascii="仿宋" w:hAnsi="仿宋" w:eastAsia="仿宋" w:cs="仿宋"/>
          <w:color w:val="333333"/>
          <w:sz w:val="28"/>
          <w:szCs w:val="28"/>
          <w:highlight w:val="none"/>
        </w:rPr>
        <w:t>m</w:t>
      </w:r>
      <w:r>
        <w:rPr>
          <w:rFonts w:hint="eastAsia" w:ascii="仿宋" w:hAnsi="仿宋" w:eastAsia="仿宋" w:cs="仿宋"/>
          <w:color w:val="333333"/>
          <w:sz w:val="28"/>
          <w:szCs w:val="28"/>
          <w:highlight w:val="none"/>
          <w:vertAlign w:val="superscript"/>
        </w:rPr>
        <w:t>2</w:t>
      </w:r>
      <w:r>
        <w:rPr>
          <w:rFonts w:hint="eastAsia" w:ascii="仿宋" w:hAnsi="仿宋" w:eastAsia="仿宋" w:cs="仿宋"/>
          <w:color w:val="333333"/>
          <w:sz w:val="28"/>
          <w:szCs w:val="28"/>
          <w:highlight w:val="none"/>
        </w:rPr>
        <w:t>，其中钢结构配货大棚总面积约</w:t>
      </w:r>
      <w:r>
        <w:rPr>
          <w:rFonts w:hint="eastAsia" w:ascii="仿宋" w:hAnsi="仿宋" w:eastAsia="仿宋" w:cs="仿宋"/>
          <w:color w:val="333333"/>
          <w:sz w:val="28"/>
          <w:szCs w:val="28"/>
          <w:highlight w:val="none"/>
          <w:lang w:val="en-US" w:eastAsia="zh-CN"/>
        </w:rPr>
        <w:t>0.</w:t>
      </w:r>
      <w:r>
        <w:rPr>
          <w:rFonts w:hint="eastAsia" w:ascii="仿宋" w:hAnsi="仿宋" w:eastAsia="仿宋" w:cs="仿宋"/>
          <w:color w:val="333333"/>
          <w:sz w:val="28"/>
          <w:szCs w:val="28"/>
          <w:highlight w:val="none"/>
        </w:rPr>
        <w:t>47</w:t>
      </w:r>
      <w:r>
        <w:rPr>
          <w:rFonts w:hint="eastAsia" w:ascii="仿宋" w:hAnsi="仿宋" w:eastAsia="仿宋" w:cs="仿宋"/>
          <w:color w:val="333333"/>
          <w:sz w:val="28"/>
          <w:szCs w:val="28"/>
          <w:highlight w:val="none"/>
          <w:lang w:val="en-US" w:eastAsia="zh-CN"/>
        </w:rPr>
        <w:t>万</w:t>
      </w:r>
      <w:r>
        <w:rPr>
          <w:rFonts w:hint="eastAsia" w:ascii="仿宋" w:hAnsi="仿宋" w:eastAsia="仿宋" w:cs="仿宋"/>
          <w:color w:val="333333"/>
          <w:sz w:val="28"/>
          <w:szCs w:val="28"/>
          <w:highlight w:val="none"/>
        </w:rPr>
        <w:t>m</w:t>
      </w:r>
      <w:r>
        <w:rPr>
          <w:rFonts w:hint="eastAsia" w:ascii="仿宋" w:hAnsi="仿宋" w:eastAsia="仿宋" w:cs="仿宋"/>
          <w:color w:val="333333"/>
          <w:sz w:val="28"/>
          <w:szCs w:val="28"/>
          <w:highlight w:val="none"/>
          <w:vertAlign w:val="superscript"/>
        </w:rPr>
        <w:t>2</w:t>
      </w:r>
      <w:r>
        <w:rPr>
          <w:rFonts w:hint="eastAsia" w:ascii="仿宋" w:hAnsi="仿宋" w:eastAsia="仿宋" w:cs="仿宋"/>
          <w:color w:val="333333"/>
          <w:sz w:val="28"/>
          <w:szCs w:val="28"/>
          <w:highlight w:val="none"/>
        </w:rPr>
        <w:t>，钢结构雨棚总面积约</w:t>
      </w:r>
      <w:r>
        <w:rPr>
          <w:rFonts w:hint="eastAsia" w:ascii="仿宋" w:hAnsi="仿宋" w:eastAsia="仿宋" w:cs="仿宋"/>
          <w:color w:val="333333"/>
          <w:sz w:val="28"/>
          <w:szCs w:val="28"/>
          <w:highlight w:val="none"/>
          <w:lang w:val="en-US" w:eastAsia="zh-CN"/>
        </w:rPr>
        <w:t>0.</w:t>
      </w:r>
      <w:r>
        <w:rPr>
          <w:rFonts w:hint="eastAsia" w:ascii="仿宋" w:hAnsi="仿宋" w:eastAsia="仿宋" w:cs="仿宋"/>
          <w:color w:val="333333"/>
          <w:sz w:val="28"/>
          <w:szCs w:val="28"/>
          <w:highlight w:val="none"/>
        </w:rPr>
        <w:t>17</w:t>
      </w:r>
      <w:r>
        <w:rPr>
          <w:rFonts w:hint="eastAsia" w:ascii="仿宋" w:hAnsi="仿宋" w:eastAsia="仿宋" w:cs="仿宋"/>
          <w:color w:val="333333"/>
          <w:sz w:val="28"/>
          <w:szCs w:val="28"/>
          <w:highlight w:val="none"/>
          <w:lang w:val="en-US" w:eastAsia="zh-CN"/>
        </w:rPr>
        <w:t>万</w:t>
      </w:r>
      <w:r>
        <w:rPr>
          <w:rFonts w:hint="eastAsia" w:ascii="仿宋" w:hAnsi="仿宋" w:eastAsia="仿宋" w:cs="仿宋"/>
          <w:color w:val="333333"/>
          <w:sz w:val="28"/>
          <w:szCs w:val="28"/>
          <w:highlight w:val="none"/>
        </w:rPr>
        <w:t>m</w:t>
      </w:r>
      <w:r>
        <w:rPr>
          <w:rFonts w:hint="eastAsia" w:ascii="仿宋" w:hAnsi="仿宋" w:eastAsia="仿宋" w:cs="仿宋"/>
          <w:color w:val="333333"/>
          <w:sz w:val="28"/>
          <w:szCs w:val="28"/>
          <w:highlight w:val="none"/>
          <w:vertAlign w:val="superscript"/>
        </w:rPr>
        <w:t>2</w:t>
      </w:r>
      <w:r>
        <w:rPr>
          <w:rFonts w:hint="eastAsia" w:ascii="仿宋" w:hAnsi="仿宋" w:eastAsia="仿宋" w:cs="仿宋"/>
          <w:color w:val="333333"/>
          <w:sz w:val="28"/>
          <w:szCs w:val="28"/>
          <w:highlight w:val="none"/>
        </w:rPr>
        <w:t>，</w:t>
      </w:r>
      <w:r>
        <w:rPr>
          <w:rFonts w:hint="eastAsia" w:ascii="仿宋" w:hAnsi="仿宋" w:eastAsia="仿宋" w:cs="仿宋"/>
          <w:color w:val="333333"/>
          <w:sz w:val="28"/>
          <w:szCs w:val="28"/>
          <w:highlight w:val="none"/>
          <w:lang w:val="en-US" w:eastAsia="zh-CN"/>
        </w:rPr>
        <w:t>内容包含</w:t>
      </w:r>
      <w:r>
        <w:rPr>
          <w:rFonts w:hint="eastAsia" w:ascii="仿宋" w:hAnsi="仿宋" w:eastAsia="仿宋" w:cs="仿宋"/>
          <w:color w:val="333333"/>
          <w:sz w:val="28"/>
          <w:szCs w:val="28"/>
          <w:highlight w:val="none"/>
        </w:rPr>
        <w:t>原水产区临时钢板房拆除，配货大棚周边配套新建雨污水管道、雨污水检查井、排水沟、挡水坡、给水管道、水表、电缆、电表等。</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333333"/>
          <w:sz w:val="28"/>
          <w:szCs w:val="28"/>
          <w:highlight w:val="none"/>
          <w:lang w:eastAsia="zh-CN"/>
        </w:rPr>
      </w:pPr>
      <w:r>
        <w:rPr>
          <w:rFonts w:hint="eastAsia" w:ascii="仿宋" w:hAnsi="仿宋" w:eastAsia="仿宋" w:cs="仿宋"/>
          <w:color w:val="333333"/>
          <w:sz w:val="28"/>
          <w:szCs w:val="28"/>
          <w:highlight w:val="none"/>
        </w:rPr>
        <w:t>7.监控、</w:t>
      </w:r>
      <w:r>
        <w:rPr>
          <w:rFonts w:hint="eastAsia" w:ascii="仿宋" w:hAnsi="仿宋" w:eastAsia="仿宋" w:cs="仿宋"/>
          <w:color w:val="333333"/>
          <w:sz w:val="28"/>
          <w:szCs w:val="28"/>
          <w:highlight w:val="none"/>
          <w:lang w:val="en-US" w:eastAsia="zh-CN"/>
        </w:rPr>
        <w:t>弱电</w:t>
      </w:r>
      <w:r>
        <w:rPr>
          <w:rFonts w:hint="eastAsia" w:ascii="仿宋" w:hAnsi="仿宋" w:eastAsia="仿宋" w:cs="仿宋"/>
          <w:color w:val="333333"/>
          <w:sz w:val="28"/>
          <w:szCs w:val="28"/>
          <w:highlight w:val="none"/>
        </w:rPr>
        <w:t>工程：增加24芯光缆</w:t>
      </w:r>
      <w:r>
        <w:rPr>
          <w:rFonts w:hint="eastAsia" w:ascii="仿宋" w:hAnsi="仿宋" w:eastAsia="仿宋" w:cs="仿宋"/>
          <w:color w:val="333333"/>
          <w:sz w:val="28"/>
          <w:szCs w:val="28"/>
          <w:highlight w:val="none"/>
          <w:lang w:val="en-US" w:eastAsia="zh-CN"/>
        </w:rPr>
        <w:t>约1.5万米</w:t>
      </w:r>
      <w:r>
        <w:rPr>
          <w:rFonts w:hint="eastAsia" w:ascii="仿宋" w:hAnsi="仿宋" w:eastAsia="仿宋" w:cs="仿宋"/>
          <w:color w:val="333333"/>
          <w:sz w:val="28"/>
          <w:szCs w:val="28"/>
          <w:highlight w:val="none"/>
        </w:rPr>
        <w:t>，新建弱电手孔井，现状手井井盖更换</w:t>
      </w:r>
      <w:r>
        <w:rPr>
          <w:rFonts w:hint="eastAsia" w:ascii="仿宋" w:hAnsi="仿宋" w:eastAsia="仿宋" w:cs="仿宋"/>
          <w:color w:val="333333"/>
          <w:sz w:val="28"/>
          <w:szCs w:val="28"/>
          <w:highlight w:val="none"/>
          <w:lang w:eastAsia="zh-CN"/>
        </w:rPr>
        <w:t>。</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333333"/>
          <w:sz w:val="28"/>
          <w:szCs w:val="28"/>
          <w:highlight w:val="none"/>
        </w:rPr>
      </w:pPr>
      <w:r>
        <w:rPr>
          <w:rFonts w:hint="eastAsia" w:ascii="仿宋" w:hAnsi="仿宋" w:eastAsia="仿宋" w:cs="仿宋"/>
          <w:color w:val="333333"/>
          <w:sz w:val="28"/>
          <w:szCs w:val="28"/>
          <w:highlight w:val="none"/>
          <w:lang w:val="en-US" w:eastAsia="zh-CN"/>
        </w:rPr>
        <w:t>8.消防系统改造工程：</w:t>
      </w:r>
      <w:r>
        <w:rPr>
          <w:rFonts w:hint="eastAsia" w:ascii="仿宋" w:hAnsi="仿宋" w:eastAsia="仿宋" w:cs="仿宋"/>
          <w:sz w:val="28"/>
          <w:szCs w:val="28"/>
          <w:highlight w:val="none"/>
        </w:rPr>
        <w:t>消防线路故障维修</w:t>
      </w:r>
      <w:r>
        <w:rPr>
          <w:rFonts w:hint="eastAsia" w:ascii="仿宋" w:hAnsi="仿宋" w:eastAsia="仿宋" w:cs="仿宋"/>
          <w:sz w:val="28"/>
          <w:szCs w:val="28"/>
          <w:highlight w:val="none"/>
          <w:lang w:val="en-US" w:eastAsia="zh-CN"/>
        </w:rPr>
        <w:t>约46处</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新增</w:t>
      </w:r>
      <w:r>
        <w:rPr>
          <w:rFonts w:hint="eastAsia" w:ascii="仿宋" w:hAnsi="仿宋" w:eastAsia="仿宋" w:cs="仿宋"/>
          <w:sz w:val="28"/>
          <w:szCs w:val="28"/>
          <w:highlight w:val="none"/>
          <w:lang w:val="en-US" w:eastAsia="zh-CN"/>
        </w:rPr>
        <w:t>消防</w:t>
      </w:r>
      <w:r>
        <w:rPr>
          <w:rFonts w:hint="eastAsia" w:ascii="仿宋" w:hAnsi="仿宋" w:eastAsia="仿宋" w:cs="仿宋"/>
          <w:sz w:val="28"/>
          <w:szCs w:val="28"/>
          <w:highlight w:val="none"/>
        </w:rPr>
        <w:t>管线、手井等</w:t>
      </w:r>
      <w:r>
        <w:rPr>
          <w:rFonts w:hint="eastAsia" w:ascii="仿宋" w:hAnsi="仿宋" w:eastAsia="仿宋" w:cs="仿宋"/>
          <w:sz w:val="28"/>
          <w:szCs w:val="28"/>
          <w:highlight w:val="none"/>
          <w:lang w:val="en-US" w:eastAsia="zh-CN"/>
        </w:rPr>
        <w:t>以及现状道路拆除恢复</w:t>
      </w:r>
      <w:r>
        <w:rPr>
          <w:rFonts w:hint="eastAsia" w:ascii="仿宋" w:hAnsi="仿宋" w:eastAsia="仿宋" w:cs="仿宋"/>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.补充特殊说明：</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图纸上已设计，但不计入本次招标范围的有：</w:t>
      </w:r>
      <w:r>
        <w:rPr>
          <w:rFonts w:hint="eastAsia" w:ascii="仿宋" w:hAnsi="仿宋" w:eastAsia="仿宋" w:cs="仿宋"/>
          <w:sz w:val="28"/>
          <w:szCs w:val="28"/>
          <w:highlight w:val="none"/>
          <w:lang w:val="en-US" w:eastAsia="zh-CN"/>
        </w:rPr>
        <w:t>无</w:t>
      </w:r>
    </w:p>
    <w:p>
      <w:pPr>
        <w:pStyle w:val="3"/>
        <w:pageBreakBefore w:val="0"/>
        <w:kinsoku/>
        <w:wordWrap/>
        <w:overflowPunct/>
        <w:topLinePunct w:val="0"/>
        <w:autoSpaceDE/>
        <w:autoSpaceDN/>
        <w:bidi w:val="0"/>
        <w:spacing w:line="560" w:lineRule="exact"/>
        <w:ind w:firstLine="562"/>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（二）暂定项目</w:t>
      </w:r>
    </w:p>
    <w:p>
      <w:pPr>
        <w:pageBreakBefore w:val="0"/>
        <w:kinsoku/>
        <w:wordWrap/>
        <w:overflowPunct/>
        <w:topLinePunct w:val="0"/>
        <w:autoSpaceDE/>
        <w:autoSpaceDN/>
        <w:bidi w:val="0"/>
        <w:adjustRightInd w:val="0"/>
        <w:snapToGrid w:val="0"/>
        <w:spacing w:line="560" w:lineRule="exact"/>
        <w:ind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1.本项目暂列金额为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u w:val="single"/>
          <w:lang w:val="en-US" w:eastAsia="zh-CN"/>
        </w:rPr>
        <w:t>130</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万元，</w:t>
      </w:r>
      <w:r>
        <w:rPr>
          <w:rFonts w:hint="eastAsia" w:ascii="仿宋" w:hAnsi="仿宋" w:eastAsia="仿宋" w:cs="仿宋"/>
          <w:color w:val="auto"/>
          <w:kern w:val="0"/>
          <w:sz w:val="28"/>
          <w:szCs w:val="28"/>
          <w:highlight w:val="none"/>
        </w:rPr>
        <w:t>计入大型土石方单位工程其他项目清单</w:t>
      </w:r>
      <w:r>
        <w:rPr>
          <w:rFonts w:hint="eastAsia" w:ascii="仿宋" w:hAnsi="仿宋" w:eastAsia="仿宋" w:cs="仿宋"/>
          <w:bCs/>
          <w:color w:val="auto"/>
          <w:sz w:val="28"/>
          <w:szCs w:val="28"/>
          <w:highlight w:val="none"/>
        </w:rPr>
        <w:t>，投标人应按招标人所列的金额计入投标总价。</w:t>
      </w:r>
    </w:p>
    <w:p>
      <w:pPr>
        <w:pageBreakBefore w:val="0"/>
        <w:kinsoku/>
        <w:wordWrap/>
        <w:overflowPunct/>
        <w:topLinePunct w:val="0"/>
        <w:autoSpaceDE/>
        <w:autoSpaceDN/>
        <w:bidi w:val="0"/>
        <w:adjustRightInd w:val="0"/>
        <w:snapToGrid w:val="0"/>
        <w:spacing w:line="560" w:lineRule="exact"/>
        <w:ind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线路故障、多线故障、广播线路维修等，按专业工程暂估价为</w:t>
      </w:r>
      <w:r>
        <w:rPr>
          <w:rFonts w:hint="eastAsia" w:ascii="仿宋" w:hAnsi="仿宋" w:eastAsia="仿宋" w:cs="仿宋"/>
          <w:bCs/>
          <w:color w:val="auto"/>
          <w:sz w:val="28"/>
          <w:szCs w:val="28"/>
          <w:highlight w:val="none"/>
          <w:lang w:val="en-US" w:eastAsia="zh-CN"/>
        </w:rPr>
        <w:t>20</w:t>
      </w:r>
      <w:r>
        <w:rPr>
          <w:rFonts w:hint="eastAsia" w:ascii="仿宋" w:hAnsi="仿宋" w:eastAsia="仿宋" w:cs="仿宋"/>
          <w:bCs/>
          <w:color w:val="auto"/>
          <w:sz w:val="28"/>
          <w:szCs w:val="28"/>
          <w:highlight w:val="none"/>
        </w:rPr>
        <w:t>万元，计入消防系统改造单位工程其他项目清单，投标人应按招标人所列的金额计入投标总价。</w:t>
      </w:r>
    </w:p>
    <w:p>
      <w:pPr>
        <w:pageBreakBefore w:val="0"/>
        <w:kinsoku/>
        <w:wordWrap/>
        <w:overflowPunct/>
        <w:topLinePunct w:val="0"/>
        <w:autoSpaceDE/>
        <w:autoSpaceDN/>
        <w:bidi w:val="0"/>
        <w:adjustRightInd w:val="0"/>
        <w:snapToGrid w:val="0"/>
        <w:spacing w:line="560" w:lineRule="exact"/>
        <w:ind w:firstLine="56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rPr>
        <w:t>（三）按项列入工程量清单的内容，标后不予调整：</w:t>
      </w:r>
      <w:r>
        <w:rPr>
          <w:rFonts w:hint="eastAsia" w:ascii="仿宋" w:hAnsi="仿宋" w:eastAsia="仿宋" w:cs="仿宋"/>
          <w:b w:val="0"/>
          <w:bCs w:val="0"/>
          <w:sz w:val="28"/>
          <w:szCs w:val="28"/>
          <w:highlight w:val="none"/>
          <w:lang w:val="en-US" w:eastAsia="zh-CN"/>
        </w:rPr>
        <w:t>无</w:t>
      </w:r>
    </w:p>
    <w:p>
      <w:pPr>
        <w:pStyle w:val="3"/>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四</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补充图纸及修改图纸的说明</w:t>
      </w:r>
    </w:p>
    <w:p>
      <w:pPr>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FF0000"/>
          <w:kern w:val="0"/>
          <w:sz w:val="28"/>
          <w:szCs w:val="28"/>
          <w:highlight w:val="none"/>
        </w:rPr>
      </w:pPr>
      <w:r>
        <w:rPr>
          <w:rFonts w:hint="eastAsia" w:ascii="仿宋" w:hAnsi="仿宋" w:eastAsia="仿宋" w:cs="仿宋"/>
          <w:color w:val="FF0000"/>
          <w:kern w:val="0"/>
          <w:sz w:val="28"/>
          <w:szCs w:val="28"/>
          <w:highlight w:val="none"/>
        </w:rPr>
        <w:t>本项目招标图纸以系统上传</w:t>
      </w:r>
      <w:r>
        <w:rPr>
          <w:rFonts w:hint="eastAsia" w:ascii="仿宋" w:hAnsi="仿宋" w:eastAsia="仿宋" w:cs="仿宋"/>
          <w:color w:val="FF0000"/>
          <w:kern w:val="0"/>
          <w:sz w:val="28"/>
          <w:szCs w:val="28"/>
          <w:highlight w:val="none"/>
        </w:rPr>
        <w:t>最后一版图纸</w:t>
      </w:r>
      <w:r>
        <w:rPr>
          <w:rFonts w:hint="eastAsia" w:ascii="仿宋" w:hAnsi="仿宋" w:eastAsia="仿宋" w:cs="仿宋"/>
          <w:color w:val="FF0000"/>
          <w:kern w:val="0"/>
          <w:sz w:val="28"/>
          <w:szCs w:val="28"/>
          <w:highlight w:val="none"/>
          <w:lang w:eastAsia="zh-CN"/>
        </w:rPr>
        <w:t>（</w:t>
      </w:r>
      <w:r>
        <w:rPr>
          <w:rFonts w:hint="eastAsia" w:ascii="仿宋" w:hAnsi="仿宋" w:eastAsia="仿宋" w:cs="仿宋"/>
          <w:color w:val="FF0000"/>
          <w:kern w:val="0"/>
          <w:sz w:val="28"/>
          <w:szCs w:val="28"/>
          <w:highlight w:val="none"/>
          <w:lang w:val="en-US" w:eastAsia="zh-CN"/>
        </w:rPr>
        <w:t>2024.6.4</w:t>
      </w:r>
      <w:r>
        <w:rPr>
          <w:rFonts w:hint="eastAsia" w:ascii="仿宋" w:hAnsi="仿宋" w:eastAsia="仿宋" w:cs="仿宋"/>
          <w:color w:val="FF0000"/>
          <w:kern w:val="0"/>
          <w:sz w:val="28"/>
          <w:szCs w:val="28"/>
          <w:highlight w:val="none"/>
          <w:lang w:eastAsia="zh-CN"/>
        </w:rPr>
        <w:t>）</w:t>
      </w:r>
      <w:r>
        <w:rPr>
          <w:rFonts w:hint="eastAsia" w:ascii="仿宋" w:hAnsi="仿宋" w:eastAsia="仿宋" w:cs="仿宋"/>
          <w:color w:val="FF0000"/>
          <w:kern w:val="0"/>
          <w:sz w:val="28"/>
          <w:szCs w:val="28"/>
          <w:highlight w:val="none"/>
        </w:rPr>
        <w:t>为准，具体详见图纸目录。</w:t>
      </w:r>
      <w:bookmarkStart w:id="0" w:name="_GoBack"/>
      <w:bookmarkEnd w:id="0"/>
    </w:p>
    <w:p>
      <w:pPr>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五</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总承包服务费：详见招标文件。</w:t>
      </w:r>
    </w:p>
    <w:p>
      <w:pPr>
        <w:pageBreakBefore w:val="0"/>
        <w:widowControl/>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温馨提示：除以下温馨提示外，投标人投标报价还须仔细阅读本项目招标文件，慎重报价。</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给排水管网等衔接费用：</w:t>
      </w:r>
      <w:r>
        <w:rPr>
          <w:rFonts w:hint="eastAsia" w:ascii="仿宋" w:hAnsi="仿宋" w:eastAsia="仿宋" w:cs="仿宋"/>
          <w:bCs/>
          <w:color w:val="auto"/>
          <w:sz w:val="28"/>
          <w:szCs w:val="28"/>
          <w:highlight w:val="none"/>
          <w:lang w:val="en-US" w:eastAsia="zh-CN"/>
        </w:rPr>
        <w:t>本项目新建的</w:t>
      </w:r>
      <w:r>
        <w:rPr>
          <w:rFonts w:hint="eastAsia" w:ascii="仿宋" w:hAnsi="仿宋" w:eastAsia="仿宋" w:cs="仿宋"/>
          <w:bCs/>
          <w:color w:val="auto"/>
          <w:sz w:val="28"/>
          <w:szCs w:val="28"/>
          <w:highlight w:val="none"/>
        </w:rPr>
        <w:t>给排水管网与现状给排水管网衔接费用，包含管道疏通、顺接、开孔、封堵等</w:t>
      </w:r>
      <w:r>
        <w:rPr>
          <w:rFonts w:hint="eastAsia" w:ascii="仿宋" w:hAnsi="仿宋" w:eastAsia="仿宋" w:cs="仿宋"/>
          <w:bCs/>
          <w:color w:val="auto"/>
          <w:sz w:val="28"/>
          <w:szCs w:val="28"/>
          <w:highlight w:val="none"/>
          <w:lang w:val="en-US" w:eastAsia="zh-CN"/>
        </w:rPr>
        <w:t>内容，</w:t>
      </w:r>
      <w:r>
        <w:rPr>
          <w:rFonts w:hint="eastAsia" w:ascii="仿宋" w:hAnsi="仿宋" w:eastAsia="仿宋" w:cs="仿宋"/>
          <w:bCs/>
          <w:color w:val="auto"/>
          <w:sz w:val="28"/>
          <w:szCs w:val="28"/>
          <w:highlight w:val="none"/>
        </w:rPr>
        <w:t>除清单已列项外相关费用已含在总价中，请投标人自行踏勘现场，综合考虑报价，标后不予调整。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本项目相关的检测费及其配合费用（招标人另行委托招标的第三方检测费除外）清单不单独列项，由投标人综合考虑在报价中，标后不予调整。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临时用水用电施工费用：由投标人根据施工组织设计自行考虑，包含水电报装、接引、计量表、管线铺设、设备材料、临时用水、用电许可手续及可能发生的线路增容、相关单位的协调、完工后的拆除恢复等一切费用，</w:t>
      </w:r>
      <w:r>
        <w:rPr>
          <w:rFonts w:hint="eastAsia" w:ascii="仿宋" w:hAnsi="仿宋" w:eastAsia="仿宋" w:cs="仿宋"/>
          <w:bCs/>
          <w:sz w:val="28"/>
          <w:szCs w:val="28"/>
          <w:highlight w:val="none"/>
          <w:lang w:val="en-US" w:eastAsia="zh-CN"/>
        </w:rPr>
        <w:t>相关</w:t>
      </w:r>
      <w:r>
        <w:rPr>
          <w:rFonts w:hint="eastAsia" w:ascii="仿宋" w:hAnsi="仿宋" w:eastAsia="仿宋" w:cs="仿宋"/>
          <w:bCs/>
          <w:sz w:val="28"/>
          <w:szCs w:val="28"/>
          <w:highlight w:val="none"/>
        </w:rPr>
        <w:t>费用清单不单独列项，由投标人综合考虑在报价中，标后不予调整。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管道交叉保护费用，施工范围内管道交叉垂直净距小于规范要求时，需采取保护措施，具体措施需满足设计要求，</w:t>
      </w:r>
      <w:r>
        <w:rPr>
          <w:rFonts w:hint="eastAsia" w:ascii="仿宋" w:hAnsi="仿宋" w:eastAsia="仿宋" w:cs="仿宋"/>
          <w:bCs/>
          <w:sz w:val="28"/>
          <w:szCs w:val="28"/>
          <w:highlight w:val="none"/>
          <w:lang w:val="en-US" w:eastAsia="zh-CN"/>
        </w:rPr>
        <w:t>相关费用已含在总价中，</w:t>
      </w:r>
      <w:r>
        <w:rPr>
          <w:rFonts w:hint="eastAsia" w:ascii="仿宋" w:hAnsi="仿宋" w:eastAsia="仿宋" w:cs="仿宋"/>
          <w:bCs/>
          <w:sz w:val="28"/>
          <w:szCs w:val="28"/>
          <w:highlight w:val="none"/>
        </w:rPr>
        <w:t>投标人</w:t>
      </w:r>
      <w:r>
        <w:rPr>
          <w:rFonts w:hint="eastAsia" w:ascii="仿宋" w:hAnsi="仿宋" w:eastAsia="仿宋" w:cs="仿宋"/>
          <w:bCs/>
          <w:sz w:val="28"/>
          <w:szCs w:val="28"/>
          <w:highlight w:val="none"/>
          <w:lang w:val="en-US" w:eastAsia="zh-CN"/>
        </w:rPr>
        <w:t>自行</w:t>
      </w:r>
      <w:r>
        <w:rPr>
          <w:rFonts w:hint="eastAsia" w:ascii="仿宋" w:hAnsi="仿宋" w:eastAsia="仿宋" w:cs="仿宋"/>
          <w:bCs/>
          <w:sz w:val="28"/>
          <w:szCs w:val="28"/>
          <w:highlight w:val="none"/>
        </w:rPr>
        <w:t>踏勘现场，综合考虑报价，标后不予调整。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原有设施保护费用：施工过程中对现有的建筑物、构筑物、地下管线等进行保护，清单不单独列项，投标人结合设计图纸自行踏勘现场</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综合考虑报价，标后不予调整。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本项目土方运输中产生的涉及渣土消纳处置、土场费、土源费、保洁费及相关管理部门收取的管理费等所有费用均由投标人综合考虑进行报价，标后不予调整。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color w:val="auto"/>
          <w:sz w:val="28"/>
          <w:szCs w:val="28"/>
          <w:highlight w:val="none"/>
          <w:lang w:val="en-US" w:eastAsia="zh-CN"/>
        </w:rPr>
        <w:t>本项目</w:t>
      </w:r>
      <w:r>
        <w:rPr>
          <w:rFonts w:hint="eastAsia" w:ascii="仿宋" w:hAnsi="仿宋" w:eastAsia="仿宋" w:cs="仿宋"/>
          <w:bCs/>
          <w:color w:val="auto"/>
          <w:sz w:val="28"/>
          <w:szCs w:val="28"/>
          <w:highlight w:val="none"/>
        </w:rPr>
        <w:t>土方开挖、回填及运输，实际土方用量与天然</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密实方之间的换算系数</w:t>
      </w:r>
      <w:r>
        <w:rPr>
          <w:rFonts w:hint="eastAsia" w:ascii="仿宋" w:hAnsi="仿宋" w:eastAsia="仿宋" w:cs="仿宋"/>
          <w:bCs/>
          <w:color w:val="auto"/>
          <w:sz w:val="28"/>
          <w:szCs w:val="28"/>
          <w:highlight w:val="none"/>
          <w:lang w:val="en-US" w:eastAsia="zh-CN"/>
        </w:rPr>
        <w:t>由</w:t>
      </w:r>
      <w:r>
        <w:rPr>
          <w:rFonts w:hint="eastAsia" w:ascii="仿宋" w:hAnsi="仿宋" w:eastAsia="仿宋" w:cs="仿宋"/>
          <w:bCs/>
          <w:color w:val="auto"/>
          <w:sz w:val="28"/>
          <w:szCs w:val="28"/>
          <w:highlight w:val="none"/>
        </w:rPr>
        <w:t>投</w:t>
      </w:r>
      <w:r>
        <w:rPr>
          <w:rFonts w:hint="eastAsia" w:ascii="仿宋" w:hAnsi="仿宋" w:eastAsia="仿宋" w:cs="仿宋"/>
          <w:bCs/>
          <w:sz w:val="28"/>
          <w:szCs w:val="28"/>
          <w:highlight w:val="none"/>
        </w:rPr>
        <w:t>标人自行考虑，相关费用已包含在总价中，投标人自行踏勘现场，综合考虑报价，中标后不予调整。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本项目</w:t>
      </w:r>
      <w:r>
        <w:rPr>
          <w:rFonts w:hint="eastAsia" w:ascii="仿宋" w:hAnsi="仿宋" w:eastAsia="仿宋" w:cs="仿宋"/>
          <w:bCs/>
          <w:sz w:val="28"/>
          <w:szCs w:val="28"/>
          <w:highlight w:val="none"/>
          <w:lang w:eastAsia="zh-CN"/>
        </w:rPr>
        <w:t>电动推拉棚</w:t>
      </w:r>
      <w:r>
        <w:rPr>
          <w:rFonts w:hint="eastAsia" w:ascii="仿宋" w:hAnsi="仿宋" w:eastAsia="仿宋" w:cs="仿宋"/>
          <w:bCs/>
          <w:sz w:val="28"/>
          <w:szCs w:val="28"/>
          <w:highlight w:val="none"/>
        </w:rPr>
        <w:t>需要结合现场情况进行二次深化设计，</w:t>
      </w:r>
      <w:r>
        <w:rPr>
          <w:rFonts w:hint="eastAsia" w:ascii="仿宋" w:hAnsi="仿宋" w:eastAsia="仿宋" w:cs="仿宋"/>
          <w:color w:val="auto"/>
          <w:sz w:val="28"/>
          <w:szCs w:val="28"/>
          <w:highlight w:val="none"/>
        </w:rPr>
        <w:t>考虑与既有建筑物的结构验算、加固及安全性鉴定、消防验算等工作</w:t>
      </w:r>
      <w:r>
        <w:rPr>
          <w:rFonts w:hint="eastAsia" w:ascii="仿宋" w:hAnsi="仿宋" w:eastAsia="仿宋" w:cs="仿宋"/>
          <w:color w:val="auto"/>
          <w:sz w:val="28"/>
          <w:szCs w:val="28"/>
          <w:highlight w:val="none"/>
          <w:lang w:eastAsia="zh-CN"/>
        </w:rPr>
        <w:t>，</w:t>
      </w:r>
      <w:r>
        <w:rPr>
          <w:rFonts w:hint="eastAsia" w:ascii="仿宋" w:hAnsi="仿宋" w:eastAsia="仿宋" w:cs="仿宋"/>
          <w:bCs/>
          <w:sz w:val="28"/>
          <w:szCs w:val="28"/>
          <w:highlight w:val="none"/>
        </w:rPr>
        <w:t>满足相关规范要求，深化设计图纸须经业主单位、设计单位、监理单位确认后方可施工，相关费用已含</w:t>
      </w:r>
      <w:r>
        <w:rPr>
          <w:rFonts w:hint="eastAsia" w:ascii="仿宋" w:hAnsi="仿宋" w:eastAsia="仿宋" w:cs="仿宋"/>
          <w:bCs/>
          <w:sz w:val="28"/>
          <w:szCs w:val="28"/>
          <w:highlight w:val="none"/>
          <w:lang w:val="en-US" w:eastAsia="zh-CN"/>
        </w:rPr>
        <w:t>在总价</w:t>
      </w:r>
      <w:r>
        <w:rPr>
          <w:rFonts w:hint="eastAsia" w:ascii="仿宋" w:hAnsi="仿宋" w:eastAsia="仿宋" w:cs="仿宋"/>
          <w:bCs/>
          <w:sz w:val="28"/>
          <w:szCs w:val="28"/>
          <w:highlight w:val="none"/>
        </w:rPr>
        <w:t>中，投标人需仔细踏勘现场，综合考虑报价</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中标后不予调整</w:t>
      </w:r>
      <w:r>
        <w:rPr>
          <w:rFonts w:hint="eastAsia" w:ascii="仿宋" w:hAnsi="仿宋" w:eastAsia="仿宋" w:cs="仿宋"/>
          <w:bCs/>
          <w:sz w:val="28"/>
          <w:szCs w:val="28"/>
          <w:highlight w:val="none"/>
        </w:rPr>
        <w:t>。</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电动推拉棚钢结构与既有建筑物结构的锚固,清单不单独列项,投标人自行踏勘现场，将上述费用综合考虑在报价中，中标后不予调整。</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本项目</w:t>
      </w:r>
      <w:r>
        <w:rPr>
          <w:rFonts w:hint="eastAsia" w:ascii="仿宋" w:hAnsi="仿宋" w:eastAsia="仿宋" w:cs="仿宋"/>
          <w:bCs/>
          <w:sz w:val="28"/>
          <w:szCs w:val="28"/>
          <w:highlight w:val="none"/>
        </w:rPr>
        <w:t>所有改造维修范围</w:t>
      </w:r>
      <w:r>
        <w:rPr>
          <w:rFonts w:hint="eastAsia" w:ascii="仿宋" w:hAnsi="仿宋" w:eastAsia="仿宋" w:cs="仿宋"/>
          <w:bCs/>
          <w:sz w:val="28"/>
          <w:szCs w:val="28"/>
          <w:highlight w:val="none"/>
          <w:lang w:val="en-US" w:eastAsia="zh-CN"/>
        </w:rPr>
        <w:t>内的雨污水</w:t>
      </w:r>
      <w:r>
        <w:rPr>
          <w:rFonts w:hint="eastAsia" w:ascii="仿宋" w:hAnsi="仿宋" w:eastAsia="仿宋" w:cs="仿宋"/>
          <w:bCs/>
          <w:sz w:val="28"/>
          <w:szCs w:val="28"/>
          <w:highlight w:val="none"/>
        </w:rPr>
        <w:t>管道开挖</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如深度未超</w:t>
      </w:r>
      <w:r>
        <w:rPr>
          <w:rFonts w:hint="eastAsia" w:ascii="仿宋" w:hAnsi="仿宋" w:eastAsia="仿宋" w:cs="仿宋"/>
          <w:bCs/>
          <w:sz w:val="28"/>
          <w:szCs w:val="28"/>
          <w:highlight w:val="none"/>
          <w:lang w:val="en-US" w:eastAsia="zh-CN"/>
        </w:rPr>
        <w:t>过</w:t>
      </w:r>
      <w:r>
        <w:rPr>
          <w:rFonts w:hint="eastAsia" w:ascii="仿宋" w:hAnsi="仿宋" w:eastAsia="仿宋" w:cs="仿宋"/>
          <w:bCs/>
          <w:sz w:val="28"/>
          <w:szCs w:val="28"/>
          <w:highlight w:val="none"/>
        </w:rPr>
        <w:t>3m，但地质情况较复杂</w:t>
      </w:r>
      <w:r>
        <w:rPr>
          <w:rFonts w:hint="eastAsia" w:ascii="仿宋" w:hAnsi="仿宋" w:eastAsia="仿宋" w:cs="仿宋"/>
          <w:bCs/>
          <w:sz w:val="28"/>
          <w:szCs w:val="28"/>
          <w:highlight w:val="none"/>
          <w:lang w:val="en-US" w:eastAsia="zh-CN"/>
        </w:rPr>
        <w:t>时，需采用</w:t>
      </w:r>
      <w:r>
        <w:rPr>
          <w:rFonts w:hint="eastAsia" w:ascii="仿宋" w:hAnsi="仿宋" w:eastAsia="仿宋" w:cs="仿宋"/>
          <w:bCs/>
          <w:sz w:val="28"/>
          <w:szCs w:val="28"/>
          <w:highlight w:val="none"/>
        </w:rPr>
        <w:t>短桩横隔板支护</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保证施工安全，满足使用需要，投标人自行踏勘现场</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充分考虑施工情况复杂性，</w:t>
      </w:r>
      <w:r>
        <w:rPr>
          <w:rFonts w:hint="eastAsia" w:ascii="仿宋" w:hAnsi="仿宋" w:eastAsia="仿宋" w:cs="仿宋"/>
          <w:bCs/>
          <w:sz w:val="28"/>
          <w:szCs w:val="28"/>
          <w:highlight w:val="none"/>
          <w:lang w:val="en-US" w:eastAsia="zh-CN"/>
        </w:rPr>
        <w:t>将上述费用综合考虑在报价中，</w:t>
      </w:r>
      <w:r>
        <w:rPr>
          <w:rFonts w:hint="eastAsia" w:ascii="仿宋" w:hAnsi="仿宋" w:eastAsia="仿宋" w:cs="仿宋"/>
          <w:bCs/>
          <w:sz w:val="28"/>
          <w:szCs w:val="28"/>
          <w:highlight w:val="none"/>
          <w:lang w:eastAsia="zh-CN"/>
        </w:rPr>
        <w:t>中标后不予调整</w:t>
      </w:r>
      <w:r>
        <w:rPr>
          <w:rFonts w:hint="eastAsia" w:ascii="仿宋" w:hAnsi="仿宋" w:eastAsia="仿宋" w:cs="仿宋"/>
          <w:bCs/>
          <w:sz w:val="28"/>
          <w:szCs w:val="28"/>
          <w:highlight w:val="none"/>
        </w:rPr>
        <w:t>。</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sz w:val="28"/>
          <w:szCs w:val="28"/>
          <w:highlight w:val="none"/>
          <w:lang w:val="en-US" w:eastAsia="zh-CN"/>
        </w:rPr>
        <w:t>现状杆件拆除：</w:t>
      </w:r>
      <w:r>
        <w:rPr>
          <w:rFonts w:hint="eastAsia" w:ascii="仿宋" w:hAnsi="仿宋" w:eastAsia="仿宋" w:cs="仿宋"/>
          <w:color w:val="000000" w:themeColor="text1"/>
          <w:sz w:val="28"/>
          <w:szCs w:val="28"/>
          <w:highlight w:val="none"/>
          <w14:textFill>
            <w14:solidFill>
              <w14:schemeClr w14:val="tx1"/>
            </w14:solidFill>
          </w14:textFill>
        </w:rPr>
        <w:t>商业楼道路范围内（商户门前散水至市政道路人行道外边线）</w:t>
      </w:r>
      <w:r>
        <w:rPr>
          <w:rFonts w:hint="eastAsia" w:ascii="仿宋" w:hAnsi="仿宋" w:eastAsia="仿宋" w:cs="仿宋"/>
          <w:bCs/>
          <w:sz w:val="28"/>
          <w:szCs w:val="28"/>
          <w:highlight w:val="none"/>
          <w:lang w:val="en-US" w:eastAsia="zh-CN"/>
        </w:rPr>
        <w:t>现状监控杆件等</w:t>
      </w:r>
      <w:r>
        <w:rPr>
          <w:rFonts w:hint="eastAsia" w:ascii="仿宋" w:hAnsi="仿宋" w:eastAsia="仿宋" w:cs="仿宋"/>
          <w:bCs/>
          <w:sz w:val="28"/>
          <w:szCs w:val="28"/>
          <w:highlight w:val="none"/>
        </w:rPr>
        <w:t>设施</w:t>
      </w:r>
      <w:r>
        <w:rPr>
          <w:rFonts w:hint="eastAsia" w:ascii="仿宋" w:hAnsi="仿宋" w:eastAsia="仿宋" w:cs="仿宋"/>
          <w:bCs/>
          <w:sz w:val="28"/>
          <w:szCs w:val="28"/>
          <w:highlight w:val="none"/>
          <w:lang w:val="en-US" w:eastAsia="zh-CN"/>
        </w:rPr>
        <w:t>需拆除恢复，</w:t>
      </w:r>
      <w:r>
        <w:rPr>
          <w:rFonts w:hint="eastAsia" w:ascii="仿宋" w:hAnsi="仿宋" w:eastAsia="仿宋" w:cs="仿宋"/>
          <w:color w:val="000000" w:themeColor="text1"/>
          <w:sz w:val="28"/>
          <w:szCs w:val="28"/>
          <w:highlight w:val="none"/>
          <w14:textFill>
            <w14:solidFill>
              <w14:schemeClr w14:val="tx1"/>
            </w14:solidFill>
          </w14:textFill>
        </w:rPr>
        <w:t>拆除后交招标人在指定位置堆放，</w:t>
      </w:r>
      <w:r>
        <w:rPr>
          <w:rFonts w:hint="eastAsia" w:ascii="仿宋" w:hAnsi="仿宋" w:eastAsia="仿宋" w:cs="仿宋"/>
          <w:color w:val="000000" w:themeColor="text1"/>
          <w:sz w:val="28"/>
          <w:szCs w:val="28"/>
          <w:highlight w:val="none"/>
          <w:lang w:val="en-US" w:eastAsia="zh-CN"/>
          <w14:textFill>
            <w14:solidFill>
              <w14:schemeClr w14:val="tx1"/>
            </w14:solidFill>
          </w14:textFill>
        </w:rPr>
        <w:t>后期部分杆件需恢复，满足使用要求，清单不单独列项，</w:t>
      </w:r>
      <w:r>
        <w:rPr>
          <w:rFonts w:hint="eastAsia" w:ascii="仿宋" w:hAnsi="仿宋" w:eastAsia="仿宋" w:cs="仿宋"/>
          <w:color w:val="000000" w:themeColor="text1"/>
          <w:sz w:val="28"/>
          <w:szCs w:val="28"/>
          <w:highlight w:val="none"/>
          <w14:textFill>
            <w14:solidFill>
              <w14:schemeClr w14:val="tx1"/>
            </w14:solidFill>
          </w14:textFill>
        </w:rPr>
        <w:t>投标人自行踏勘现场，</w:t>
      </w:r>
      <w:r>
        <w:rPr>
          <w:rFonts w:hint="eastAsia" w:ascii="仿宋" w:hAnsi="仿宋" w:eastAsia="仿宋" w:cs="仿宋"/>
          <w:color w:val="000000" w:themeColor="text1"/>
          <w:sz w:val="28"/>
          <w:szCs w:val="28"/>
          <w:highlight w:val="none"/>
          <w:lang w:val="en-US" w:eastAsia="zh-CN"/>
          <w14:textFill>
            <w14:solidFill>
              <w14:schemeClr w14:val="tx1"/>
            </w14:solidFill>
          </w14:textFill>
        </w:rPr>
        <w:t>将上述费用</w:t>
      </w:r>
      <w:r>
        <w:rPr>
          <w:rFonts w:hint="eastAsia" w:ascii="仿宋" w:hAnsi="仿宋" w:eastAsia="仿宋" w:cs="仿宋"/>
          <w:color w:val="000000" w:themeColor="text1"/>
          <w:sz w:val="28"/>
          <w:szCs w:val="28"/>
          <w:highlight w:val="none"/>
          <w14:textFill>
            <w14:solidFill>
              <w14:schemeClr w14:val="tx1"/>
            </w14:solidFill>
          </w14:textFill>
        </w:rPr>
        <w:t>综合考虑在报价中，</w:t>
      </w:r>
      <w:r>
        <w:rPr>
          <w:rFonts w:hint="eastAsia" w:ascii="仿宋" w:hAnsi="仿宋" w:eastAsia="仿宋" w:cs="仿宋"/>
          <w:sz w:val="28"/>
          <w:szCs w:val="28"/>
          <w:highlight w:val="none"/>
        </w:rPr>
        <w:t>中标后不予调整</w:t>
      </w:r>
      <w:r>
        <w:rPr>
          <w:rFonts w:hint="eastAsia" w:ascii="仿宋" w:hAnsi="仿宋" w:eastAsia="仿宋" w:cs="仿宋"/>
          <w:color w:val="000000" w:themeColor="text1"/>
          <w:sz w:val="28"/>
          <w:szCs w:val="28"/>
          <w:highlight w:val="none"/>
          <w14:textFill>
            <w14:solidFill>
              <w14:schemeClr w14:val="tx1"/>
            </w14:solidFill>
          </w14:textFill>
        </w:rPr>
        <w:t>。</w:t>
      </w:r>
    </w:p>
    <w:p>
      <w:pPr>
        <w:pageBreakBefore w:val="0"/>
        <w:numPr>
          <w:ilvl w:val="0"/>
          <w:numId w:val="1"/>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color w:val="000000" w:themeColor="text1"/>
          <w:sz w:val="28"/>
          <w:szCs w:val="28"/>
          <w:highlight w:val="none"/>
          <w14:textFill>
            <w14:solidFill>
              <w14:schemeClr w14:val="tx1"/>
            </w14:solidFill>
          </w14:textFill>
        </w:rPr>
        <w:t>商业楼</w:t>
      </w:r>
      <w:r>
        <w:rPr>
          <w:rFonts w:hint="eastAsia" w:ascii="仿宋" w:hAnsi="仿宋" w:eastAsia="仿宋" w:cs="仿宋"/>
          <w:bCs/>
          <w:sz w:val="28"/>
          <w:szCs w:val="28"/>
          <w:highlight w:val="none"/>
        </w:rPr>
        <w:t>路面修复过程中对现状进出口地面下感应线圈破坏后应同步进行恢复</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相关费用由投标人综合考虑在报价中，中标后不予调整</w:t>
      </w:r>
      <w:r>
        <w:rPr>
          <w:rFonts w:hint="eastAsia" w:ascii="仿宋" w:hAnsi="仿宋" w:eastAsia="仿宋" w:cs="仿宋"/>
          <w:bCs/>
          <w:sz w:val="28"/>
          <w:szCs w:val="28"/>
          <w:highlight w:val="none"/>
        </w:rPr>
        <w:t>。</w:t>
      </w:r>
    </w:p>
    <w:p>
      <w:pPr>
        <w:pageBreakBefore w:val="0"/>
        <w:widowControl/>
        <w:tabs>
          <w:tab w:val="left" w:pos="630"/>
        </w:tabs>
        <w:kinsoku/>
        <w:wordWrap/>
        <w:overflowPunct/>
        <w:topLinePunct w:val="0"/>
        <w:autoSpaceDE/>
        <w:autoSpaceDN/>
        <w:bidi w:val="0"/>
        <w:spacing w:line="560" w:lineRule="exact"/>
        <w:ind w:firstLine="560"/>
        <w:jc w:val="left"/>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三、设计文件及技术补充说明</w:t>
      </w:r>
    </w:p>
    <w:p>
      <w:pPr>
        <w:pStyle w:val="3"/>
        <w:pageBreakBefore w:val="0"/>
        <w:kinsoku/>
        <w:wordWrap/>
        <w:overflowPunct/>
        <w:topLinePunct w:val="0"/>
        <w:autoSpaceDE/>
        <w:autoSpaceDN/>
        <w:bidi w:val="0"/>
        <w:spacing w:line="560" w:lineRule="exact"/>
        <w:ind w:firstLine="562"/>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（一）共性问题</w:t>
      </w:r>
    </w:p>
    <w:p>
      <w:pPr>
        <w:pageBreakBefore w:val="0"/>
        <w:numPr>
          <w:ilvl w:val="0"/>
          <w:numId w:val="2"/>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请明确本项目土方开挖、运输方案。</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回复：本项目最高投标限价中土方类别按</w:t>
      </w:r>
      <w:r>
        <w:rPr>
          <w:rFonts w:hint="eastAsia" w:ascii="仿宋" w:hAnsi="仿宋" w:eastAsia="仿宋" w:cs="仿宋"/>
          <w:sz w:val="28"/>
          <w:szCs w:val="28"/>
          <w:highlight w:val="none"/>
          <w:lang w:val="en-US" w:eastAsia="zh-CN"/>
        </w:rPr>
        <w:t>三类土计算</w:t>
      </w:r>
      <w:r>
        <w:rPr>
          <w:rFonts w:hint="eastAsia" w:ascii="仿宋" w:hAnsi="仿宋" w:eastAsia="仿宋" w:cs="仿宋"/>
          <w:sz w:val="28"/>
          <w:szCs w:val="28"/>
          <w:highlight w:val="none"/>
        </w:rPr>
        <w:t>，弃渣、弃土方运距按15km，借土运距按5km计算。投标人须认真勘察现场，做好测绘测量复查工作，并结合项目周边取、弃土点情况以及管理部门相关要求综合考虑报价，中标后不予调整。</w:t>
      </w:r>
    </w:p>
    <w:p>
      <w:pPr>
        <w:pageBreakBefore w:val="0"/>
        <w:numPr>
          <w:ilvl w:val="0"/>
          <w:numId w:val="2"/>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请明确</w:t>
      </w:r>
      <w:r>
        <w:rPr>
          <w:rFonts w:hint="eastAsia" w:ascii="仿宋" w:hAnsi="仿宋" w:eastAsia="仿宋" w:cs="仿宋"/>
          <w:bCs/>
          <w:sz w:val="28"/>
          <w:szCs w:val="28"/>
          <w:highlight w:val="none"/>
          <w:lang w:val="en-US" w:eastAsia="zh-CN"/>
        </w:rPr>
        <w:t>图纸中</w:t>
      </w:r>
      <w:r>
        <w:rPr>
          <w:rFonts w:hint="eastAsia" w:ascii="仿宋" w:hAnsi="仿宋" w:eastAsia="仿宋" w:cs="仿宋"/>
          <w:bCs/>
          <w:sz w:val="28"/>
          <w:szCs w:val="28"/>
          <w:highlight w:val="none"/>
        </w:rPr>
        <w:t>平面图不详细</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工程量无法计算复核的量</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如何计入</w:t>
      </w:r>
      <w:r>
        <w:rPr>
          <w:rFonts w:hint="eastAsia" w:ascii="仿宋" w:hAnsi="仿宋" w:eastAsia="仿宋" w:cs="仿宋"/>
          <w:bCs/>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回复：按</w:t>
      </w:r>
      <w:r>
        <w:rPr>
          <w:rFonts w:hint="eastAsia" w:ascii="仿宋" w:hAnsi="仿宋" w:eastAsia="仿宋" w:cs="仿宋"/>
          <w:sz w:val="28"/>
          <w:szCs w:val="28"/>
          <w:highlight w:val="none"/>
          <w:lang w:val="en-US" w:eastAsia="zh-CN"/>
        </w:rPr>
        <w:t>设计图纸</w:t>
      </w:r>
      <w:r>
        <w:rPr>
          <w:rFonts w:hint="eastAsia" w:ascii="仿宋" w:hAnsi="仿宋" w:eastAsia="仿宋" w:cs="仿宋"/>
          <w:sz w:val="28"/>
          <w:szCs w:val="28"/>
          <w:highlight w:val="none"/>
        </w:rPr>
        <w:t>主要工程数量表中相应数量计入。</w:t>
      </w:r>
    </w:p>
    <w:p>
      <w:pPr>
        <w:pStyle w:val="3"/>
        <w:pageBreakBefore w:val="0"/>
        <w:kinsoku/>
        <w:wordWrap/>
        <w:overflowPunct/>
        <w:topLinePunct w:val="0"/>
        <w:autoSpaceDE/>
        <w:autoSpaceDN/>
        <w:bidi w:val="0"/>
        <w:spacing w:line="560" w:lineRule="exact"/>
        <w:ind w:firstLine="562"/>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（二）个性问题</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rPr>
        <w:t>排水工程</w:t>
      </w:r>
      <w:r>
        <w:rPr>
          <w:rFonts w:hint="eastAsia" w:ascii="仿宋" w:hAnsi="仿宋" w:eastAsia="仿宋" w:cs="仿宋"/>
          <w:b/>
          <w:bCs/>
          <w:sz w:val="28"/>
          <w:szCs w:val="28"/>
          <w:highlight w:val="none"/>
          <w:lang w:eastAsia="zh-CN"/>
        </w:rPr>
        <w:t>（</w:t>
      </w:r>
      <w:r>
        <w:rPr>
          <w:rFonts w:hint="eastAsia" w:ascii="仿宋" w:hAnsi="仿宋" w:eastAsia="仿宋" w:cs="仿宋"/>
          <w:b/>
          <w:bCs/>
          <w:color w:val="333333"/>
          <w:sz w:val="28"/>
          <w:szCs w:val="28"/>
          <w:highlight w:val="none"/>
        </w:rPr>
        <w:t>含商业楼前管线附属工程</w:t>
      </w:r>
      <w:r>
        <w:rPr>
          <w:rFonts w:hint="eastAsia" w:ascii="仿宋" w:hAnsi="仿宋" w:eastAsia="仿宋" w:cs="仿宋"/>
          <w:b/>
          <w:bCs/>
          <w:sz w:val="28"/>
          <w:szCs w:val="28"/>
          <w:highlight w:val="none"/>
          <w:lang w:eastAsia="zh-CN"/>
        </w:rPr>
        <w:t>）</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排水管道设计说明第11条：排水混凝土管道基础做法参见06MS201-1,19，此图集适用范围为管径600-3000</w:t>
      </w:r>
      <w:r>
        <w:rPr>
          <w:rFonts w:hint="eastAsia" w:ascii="仿宋" w:hAnsi="仿宋" w:eastAsia="仿宋" w:cs="仿宋"/>
          <w:bCs/>
          <w:sz w:val="28"/>
          <w:szCs w:val="28"/>
          <w:highlight w:val="none"/>
          <w:lang w:val="en-US" w:eastAsia="zh-CN"/>
        </w:rPr>
        <w:t>mm</w:t>
      </w:r>
      <w:r>
        <w:rPr>
          <w:rFonts w:hint="eastAsia" w:ascii="仿宋" w:hAnsi="仿宋" w:eastAsia="仿宋" w:cs="仿宋"/>
          <w:bCs/>
          <w:sz w:val="28"/>
          <w:szCs w:val="28"/>
          <w:highlight w:val="none"/>
        </w:rPr>
        <w:t>的管道，商业楼室外排水混凝土管道管径600mm以下的管道</w:t>
      </w:r>
      <w:r>
        <w:rPr>
          <w:rFonts w:hint="eastAsia" w:ascii="仿宋" w:hAnsi="仿宋" w:eastAsia="仿宋" w:cs="仿宋"/>
          <w:bCs/>
          <w:sz w:val="28"/>
          <w:szCs w:val="28"/>
          <w:highlight w:val="none"/>
          <w:lang w:val="en-US" w:eastAsia="zh-CN"/>
        </w:rPr>
        <w:t>做法如何考虑</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回复：管径600mm以下管道基础</w:t>
      </w:r>
      <w:r>
        <w:rPr>
          <w:rFonts w:hint="eastAsia" w:ascii="仿宋" w:hAnsi="仿宋" w:eastAsia="仿宋" w:cs="仿宋"/>
          <w:sz w:val="28"/>
          <w:szCs w:val="28"/>
          <w:highlight w:val="none"/>
          <w:lang w:val="en-US" w:eastAsia="zh-CN"/>
        </w:rPr>
        <w:t>做法</w:t>
      </w:r>
      <w:r>
        <w:rPr>
          <w:rFonts w:hint="eastAsia" w:ascii="仿宋" w:hAnsi="仿宋" w:eastAsia="仿宋" w:cs="仿宋"/>
          <w:sz w:val="28"/>
          <w:szCs w:val="28"/>
          <w:highlight w:val="none"/>
        </w:rPr>
        <w:t>参照管径600mm基础做法。</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排水管道设计说明第11条：塑料管采用180°混凝土基础06MS201-1,22，此图集适用混凝土管道，请明确</w:t>
      </w:r>
      <w:r>
        <w:rPr>
          <w:rFonts w:hint="eastAsia" w:ascii="仿宋" w:hAnsi="仿宋" w:eastAsia="仿宋" w:cs="仿宋"/>
          <w:bCs/>
          <w:sz w:val="28"/>
          <w:szCs w:val="28"/>
          <w:highlight w:val="none"/>
          <w:lang w:val="en-US" w:eastAsia="zh-CN"/>
        </w:rPr>
        <w:t>塑料管基础如何考虑</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w:t>
      </w:r>
      <w:r>
        <w:rPr>
          <w:rFonts w:hint="eastAsia" w:ascii="仿宋" w:hAnsi="仿宋" w:eastAsia="仿宋" w:cs="仿宋"/>
          <w:sz w:val="28"/>
          <w:szCs w:val="28"/>
          <w:highlight w:val="none"/>
          <w:lang w:eastAsia="zh-CN"/>
        </w:rPr>
        <w:t>具体详见混凝土管道沟槽回填断面示意图</w:t>
      </w:r>
      <w:r>
        <w:rPr>
          <w:rFonts w:hint="eastAsia" w:ascii="仿宋" w:hAnsi="仿宋" w:eastAsia="仿宋" w:cs="仿宋"/>
          <w:sz w:val="28"/>
          <w:szCs w:val="28"/>
          <w:highlight w:val="none"/>
          <w:lang w:val="en-US" w:eastAsia="zh-CN"/>
        </w:rPr>
        <w:t>S-PS-09，管道包封大样图S-PS-10。</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排水管道平面图检查井无规格型号、量表工程量和平面图工程量不一致</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回复：检查井规格型号和数量以量表为准。</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管道CIPP点状修复图纸按每处计入，请明确具体工程量。</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回复：按每处2米计入，需满足修复目标，保证使用功能。</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管道开挖修复深度和支护如何考虑。</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回复：雨水管道平均开挖深度按2米计入，污水管道平均开挖深度按3米计入，管道开挖超过3米的采用拉森钢板桩支护（具体详见大样图S-PS-17），全区按200m长度计入副食品交易区工程量中。</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单箅雨水口图纸显示为预制砼，设计说明10第四条</w:t>
      </w:r>
      <w:r>
        <w:rPr>
          <w:rFonts w:hint="eastAsia" w:ascii="仿宋" w:hAnsi="仿宋" w:eastAsia="仿宋" w:cs="仿宋"/>
          <w:bCs/>
          <w:sz w:val="28"/>
          <w:szCs w:val="28"/>
          <w:highlight w:val="none"/>
          <w:lang w:val="en-US" w:eastAsia="zh-CN"/>
        </w:rPr>
        <w:t>明确材质为</w:t>
      </w:r>
      <w:r>
        <w:rPr>
          <w:rFonts w:hint="eastAsia" w:ascii="仿宋" w:hAnsi="仿宋" w:eastAsia="仿宋" w:cs="仿宋"/>
          <w:bCs/>
          <w:sz w:val="28"/>
          <w:szCs w:val="28"/>
          <w:highlight w:val="none"/>
        </w:rPr>
        <w:t>砖砌体，以何为准。</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回复：为预制砼雨水口。</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请明确各交易区现状空调压缩机迁移工程量。</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回复：每个交易区按10台计入，超出部分</w:t>
      </w:r>
      <w:r>
        <w:rPr>
          <w:rFonts w:hint="eastAsia" w:ascii="仿宋" w:hAnsi="仿宋" w:eastAsia="仿宋" w:cs="仿宋"/>
          <w:color w:val="000000" w:themeColor="text1"/>
          <w:sz w:val="28"/>
          <w:szCs w:val="28"/>
          <w:highlight w:val="none"/>
          <w:lang w:val="en-US" w:eastAsia="zh-CN"/>
          <w14:textFill>
            <w14:solidFill>
              <w14:schemeClr w14:val="tx1"/>
            </w14:solidFill>
          </w14:textFill>
        </w:rPr>
        <w:t>由</w:t>
      </w:r>
      <w:r>
        <w:rPr>
          <w:rFonts w:hint="eastAsia" w:ascii="仿宋" w:hAnsi="仿宋" w:eastAsia="仿宋" w:cs="仿宋"/>
          <w:color w:val="000000" w:themeColor="text1"/>
          <w:sz w:val="28"/>
          <w:szCs w:val="28"/>
          <w:highlight w:val="none"/>
          <w14:textFill>
            <w14:solidFill>
              <w14:schemeClr w14:val="tx1"/>
            </w14:solidFill>
          </w14:textFill>
        </w:rPr>
        <w:t>投标人自行迁移，满足本次改造施工需要</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超出部分的费用由投标人综合考虑在报价中，中标后不予调整</w:t>
      </w:r>
      <w:r>
        <w:rPr>
          <w:rFonts w:hint="eastAsia" w:ascii="仿宋" w:hAnsi="仿宋" w:eastAsia="仿宋" w:cs="仿宋"/>
          <w:color w:val="000000" w:themeColor="text1"/>
          <w:sz w:val="28"/>
          <w:szCs w:val="28"/>
          <w:highlight w:val="none"/>
          <w14:textFill>
            <w14:solidFill>
              <w14:schemeClr w14:val="tx1"/>
            </w14:solidFill>
          </w14:textFill>
        </w:rPr>
        <w:t>。</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请明确交易区施工排水管道的道路破除（不含商业街破除）部分</w:t>
      </w:r>
      <w:r>
        <w:rPr>
          <w:rFonts w:hint="eastAsia" w:ascii="仿宋" w:hAnsi="仿宋" w:eastAsia="仿宋" w:cs="仿宋"/>
          <w:bCs/>
          <w:color w:val="auto"/>
          <w:sz w:val="28"/>
          <w:szCs w:val="28"/>
          <w:highlight w:val="none"/>
          <w:lang w:val="en-US" w:eastAsia="zh-CN"/>
        </w:rPr>
        <w:t>的</w:t>
      </w:r>
      <w:r>
        <w:rPr>
          <w:rFonts w:hint="eastAsia" w:ascii="仿宋" w:hAnsi="仿宋" w:eastAsia="仿宋" w:cs="仿宋"/>
          <w:bCs/>
          <w:color w:val="auto"/>
          <w:sz w:val="28"/>
          <w:szCs w:val="28"/>
          <w:highlight w:val="none"/>
        </w:rPr>
        <w:t>结构层形式</w:t>
      </w:r>
      <w:r>
        <w:rPr>
          <w:rFonts w:hint="eastAsia" w:ascii="仿宋" w:hAnsi="仿宋" w:eastAsia="仿宋" w:cs="仿宋"/>
          <w:bCs/>
          <w:color w:val="auto"/>
          <w:sz w:val="28"/>
          <w:szCs w:val="28"/>
          <w:highlight w:val="none"/>
          <w:lang w:val="en-US" w:eastAsia="zh-CN"/>
        </w:rPr>
        <w:t>以及</w:t>
      </w:r>
      <w:r>
        <w:rPr>
          <w:rFonts w:hint="eastAsia" w:ascii="仿宋" w:hAnsi="仿宋" w:eastAsia="仿宋" w:cs="仿宋"/>
          <w:bCs/>
          <w:color w:val="auto"/>
          <w:sz w:val="28"/>
          <w:szCs w:val="28"/>
          <w:highlight w:val="none"/>
        </w:rPr>
        <w:t>恢复路面做法。</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FF0000"/>
          <w:sz w:val="28"/>
          <w:szCs w:val="28"/>
          <w:highlight w:val="none"/>
        </w:rPr>
      </w:pPr>
      <w:r>
        <w:rPr>
          <w:rFonts w:hint="eastAsia" w:ascii="仿宋" w:hAnsi="仿宋" w:eastAsia="仿宋" w:cs="仿宋"/>
          <w:color w:val="auto"/>
          <w:sz w:val="28"/>
          <w:szCs w:val="28"/>
          <w:highlight w:val="none"/>
        </w:rPr>
        <w:t>回复：老路面</w:t>
      </w:r>
      <w:r>
        <w:rPr>
          <w:rFonts w:hint="eastAsia" w:ascii="仿宋" w:hAnsi="仿宋" w:eastAsia="仿宋" w:cs="仿宋"/>
          <w:color w:val="auto"/>
          <w:sz w:val="28"/>
          <w:szCs w:val="28"/>
          <w:highlight w:val="none"/>
          <w:lang w:val="en-US" w:eastAsia="zh-CN"/>
        </w:rPr>
        <w:t>结构</w:t>
      </w:r>
      <w:r>
        <w:rPr>
          <w:rFonts w:hint="eastAsia" w:ascii="仿宋" w:hAnsi="仿宋" w:eastAsia="仿宋" w:cs="仿宋"/>
          <w:color w:val="auto"/>
          <w:sz w:val="28"/>
          <w:szCs w:val="28"/>
          <w:highlight w:val="none"/>
        </w:rPr>
        <w:t>为24cm</w:t>
      </w:r>
      <w:r>
        <w:rPr>
          <w:rFonts w:hint="eastAsia" w:ascii="仿宋" w:hAnsi="仿宋" w:eastAsia="仿宋" w:cs="仿宋"/>
          <w:color w:val="auto"/>
          <w:sz w:val="28"/>
          <w:szCs w:val="28"/>
          <w:highlight w:val="none"/>
          <w:lang w:val="en-US" w:eastAsia="zh-CN"/>
        </w:rPr>
        <w:t>厚</w:t>
      </w:r>
      <w:r>
        <w:rPr>
          <w:rFonts w:hint="eastAsia" w:ascii="仿宋" w:hAnsi="仿宋" w:eastAsia="仿宋" w:cs="仿宋"/>
          <w:color w:val="auto"/>
          <w:sz w:val="28"/>
          <w:szCs w:val="28"/>
          <w:highlight w:val="none"/>
        </w:rPr>
        <w:t>C35混凝土+</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cm</w:t>
      </w:r>
      <w:r>
        <w:rPr>
          <w:rFonts w:hint="eastAsia" w:ascii="仿宋" w:hAnsi="仿宋" w:eastAsia="仿宋" w:cs="仿宋"/>
          <w:color w:val="auto"/>
          <w:sz w:val="28"/>
          <w:szCs w:val="28"/>
          <w:highlight w:val="none"/>
          <w:lang w:val="en-US" w:eastAsia="zh-CN"/>
        </w:rPr>
        <w:t>厚</w:t>
      </w:r>
      <w:r>
        <w:rPr>
          <w:rFonts w:hint="eastAsia" w:ascii="仿宋" w:hAnsi="仿宋" w:eastAsia="仿宋" w:cs="仿宋"/>
          <w:color w:val="auto"/>
          <w:sz w:val="28"/>
          <w:szCs w:val="28"/>
          <w:highlight w:val="none"/>
        </w:rPr>
        <w:t>水凝稳定土，新路面结构做法</w:t>
      </w:r>
      <w:r>
        <w:rPr>
          <w:rFonts w:hint="eastAsia" w:ascii="仿宋" w:hAnsi="仿宋" w:eastAsia="仿宋" w:cs="仿宋"/>
          <w:color w:val="auto"/>
          <w:sz w:val="28"/>
          <w:szCs w:val="28"/>
          <w:highlight w:val="none"/>
          <w:lang w:val="en-US" w:eastAsia="zh-CN"/>
        </w:rPr>
        <w:t>详见04大样图S-PS-14</w:t>
      </w:r>
      <w:r>
        <w:rPr>
          <w:rFonts w:hint="eastAsia" w:ascii="仿宋" w:hAnsi="仿宋" w:eastAsia="仿宋" w:cs="仿宋"/>
          <w:color w:val="000000" w:themeColor="text1"/>
          <w:sz w:val="28"/>
          <w:szCs w:val="28"/>
          <w:highlight w:val="none"/>
          <w14:textFill>
            <w14:solidFill>
              <w14:schemeClr w14:val="tx1"/>
            </w14:solidFill>
          </w14:textFill>
        </w:rPr>
        <w:t>。</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雨、污水管道拆除检查井、拆除雨水口、拆除管道工程量如何计入。</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回复：以图纸工程数量表计入，投标人自行勘探现场，综合报价，中标后不予调整。</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废弃管道永久封堵工程量。</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回复：以图纸工程数量表计入，投标人自行勘探现场，综合报价，中标后不予调整。</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请明确机动车道下检查井井圈是否需要加固处理。</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回复：需要。</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请明确</w:t>
      </w:r>
      <w:r>
        <w:rPr>
          <w:rFonts w:hint="eastAsia" w:ascii="仿宋" w:hAnsi="仿宋" w:eastAsia="仿宋" w:cs="仿宋"/>
          <w:bCs/>
          <w:color w:val="auto"/>
          <w:sz w:val="28"/>
          <w:szCs w:val="28"/>
          <w:highlight w:val="none"/>
        </w:rPr>
        <w:t>商业街与市政衔接</w:t>
      </w:r>
      <w:r>
        <w:rPr>
          <w:rFonts w:hint="eastAsia" w:ascii="仿宋" w:hAnsi="仿宋" w:eastAsia="仿宋" w:cs="仿宋"/>
          <w:bCs/>
          <w:color w:val="auto"/>
          <w:sz w:val="28"/>
          <w:szCs w:val="28"/>
          <w:highlight w:val="none"/>
          <w:lang w:val="en-US" w:eastAsia="zh-CN"/>
        </w:rPr>
        <w:t>处</w:t>
      </w:r>
      <w:r>
        <w:rPr>
          <w:rFonts w:hint="eastAsia" w:ascii="仿宋" w:hAnsi="仿宋" w:eastAsia="仿宋" w:cs="仿宋"/>
          <w:bCs/>
          <w:color w:val="auto"/>
          <w:sz w:val="28"/>
          <w:szCs w:val="28"/>
          <w:highlight w:val="none"/>
        </w:rPr>
        <w:t>人行道拆除恢复做法。</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w:t>
      </w:r>
      <w:r>
        <w:rPr>
          <w:rFonts w:hint="eastAsia" w:ascii="仿宋" w:hAnsi="仿宋" w:eastAsia="仿宋" w:cs="仿宋"/>
          <w:color w:val="auto"/>
          <w:sz w:val="28"/>
          <w:szCs w:val="28"/>
          <w:highlight w:val="none"/>
          <w:lang w:val="en-US" w:eastAsia="zh-CN"/>
        </w:rPr>
        <w:t>此处拆除恢复做法参照“S-PS-15 非机动车道及人行道恢复做法大样图”</w:t>
      </w:r>
      <w:r>
        <w:rPr>
          <w:rFonts w:hint="eastAsia" w:ascii="仿宋" w:hAnsi="仿宋" w:eastAsia="仿宋" w:cs="仿宋"/>
          <w:color w:val="auto"/>
          <w:sz w:val="28"/>
          <w:szCs w:val="28"/>
          <w:highlight w:val="none"/>
        </w:rPr>
        <w:t>。</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雨、污水出户管道工程量。</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回复：雨、污水出户管道平面图仅为示意图，此工程量以量表为准。</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量表</w:t>
      </w:r>
      <w:r>
        <w:rPr>
          <w:rFonts w:hint="eastAsia" w:ascii="仿宋" w:hAnsi="仿宋" w:eastAsia="仿宋" w:cs="仿宋"/>
          <w:bCs/>
          <w:sz w:val="28"/>
          <w:szCs w:val="28"/>
          <w:highlight w:val="none"/>
          <w:lang w:val="en-US" w:eastAsia="zh-CN"/>
        </w:rPr>
        <w:t>中</w:t>
      </w:r>
      <w:r>
        <w:rPr>
          <w:rFonts w:hint="eastAsia" w:ascii="仿宋" w:hAnsi="仿宋" w:eastAsia="仿宋" w:cs="仿宋"/>
          <w:bCs/>
          <w:sz w:val="28"/>
          <w:szCs w:val="28"/>
          <w:highlight w:val="none"/>
        </w:rPr>
        <w:t>球墨铸铁排水管</w:t>
      </w:r>
      <w:r>
        <w:rPr>
          <w:rFonts w:hint="eastAsia" w:ascii="仿宋" w:hAnsi="仿宋" w:eastAsia="仿宋" w:cs="仿宋"/>
          <w:bCs/>
          <w:sz w:val="28"/>
          <w:szCs w:val="28"/>
          <w:highlight w:val="none"/>
          <w:lang w:val="en-US" w:eastAsia="zh-CN"/>
        </w:rPr>
        <w:t>长度</w:t>
      </w:r>
      <w:r>
        <w:rPr>
          <w:rFonts w:hint="eastAsia" w:ascii="仿宋" w:hAnsi="仿宋" w:eastAsia="仿宋" w:cs="仿宋"/>
          <w:bCs/>
          <w:sz w:val="28"/>
          <w:szCs w:val="28"/>
          <w:highlight w:val="none"/>
        </w:rPr>
        <w:t>与平面图工程量不一致，</w:t>
      </w: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回复：以量表为准。</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各交易区雨水立管和横干管工程量。</w:t>
      </w:r>
    </w:p>
    <w:p>
      <w:pPr>
        <w:pageBreakBefore w:val="0"/>
        <w:kinsoku/>
        <w:wordWrap/>
        <w:overflowPunct/>
        <w:topLinePunct w:val="0"/>
        <w:autoSpaceDE/>
        <w:autoSpaceDN/>
        <w:bidi w:val="0"/>
        <w:spacing w:line="560" w:lineRule="exac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回复：此工程量以量表为准。</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请明确交易区及商业街现状检查井破除恢复的</w:t>
      </w:r>
      <w:r>
        <w:rPr>
          <w:rFonts w:hint="eastAsia" w:ascii="仿宋" w:hAnsi="仿宋" w:eastAsia="仿宋" w:cs="仿宋"/>
          <w:bCs/>
          <w:sz w:val="28"/>
          <w:szCs w:val="28"/>
          <w:highlight w:val="none"/>
          <w:lang w:val="en-US" w:eastAsia="zh-CN"/>
        </w:rPr>
        <w:t>检查井</w:t>
      </w:r>
      <w:r>
        <w:rPr>
          <w:rFonts w:hint="eastAsia" w:ascii="仿宋" w:hAnsi="仿宋" w:eastAsia="仿宋" w:cs="仿宋"/>
          <w:bCs/>
          <w:sz w:val="28"/>
          <w:szCs w:val="28"/>
          <w:highlight w:val="none"/>
        </w:rPr>
        <w:t>规格。</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回复：现状检查井均按φ1000，新建</w:t>
      </w:r>
      <w:r>
        <w:rPr>
          <w:rFonts w:hint="eastAsia" w:ascii="仿宋" w:hAnsi="仿宋" w:eastAsia="仿宋" w:cs="仿宋"/>
          <w:sz w:val="28"/>
          <w:szCs w:val="28"/>
          <w:highlight w:val="none"/>
          <w:lang w:val="en-US" w:eastAsia="zh-CN"/>
        </w:rPr>
        <w:t>检查井</w:t>
      </w:r>
      <w:r>
        <w:rPr>
          <w:rFonts w:hint="eastAsia" w:ascii="仿宋" w:hAnsi="仿宋" w:eastAsia="仿宋" w:cs="仿宋"/>
          <w:sz w:val="28"/>
          <w:szCs w:val="28"/>
          <w:highlight w:val="none"/>
        </w:rPr>
        <w:t>参照对应图集</w:t>
      </w:r>
      <w:r>
        <w:rPr>
          <w:rFonts w:hint="eastAsia" w:ascii="仿宋" w:hAnsi="仿宋" w:eastAsia="仿宋" w:cs="仿宋"/>
          <w:sz w:val="28"/>
          <w:szCs w:val="28"/>
          <w:highlight w:val="none"/>
          <w:lang w:eastAsia="zh-CN"/>
        </w:rPr>
        <w:t>。</w:t>
      </w:r>
    </w:p>
    <w:p>
      <w:pPr>
        <w:pageBreakBefore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请明确雨水管道是否需要做闭水试验。</w:t>
      </w:r>
    </w:p>
    <w:p>
      <w:pPr>
        <w:pStyle w:val="7"/>
        <w:keepNext w:val="0"/>
        <w:keepLines w:val="0"/>
        <w:pageBreakBefore w:val="0"/>
        <w:widowControl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回复：雨水主管道需要做闭水试验。</w:t>
      </w:r>
    </w:p>
    <w:p>
      <w:pPr>
        <w:keepNext w:val="0"/>
        <w:keepLines w:val="0"/>
        <w:pageBreakBefore w:val="0"/>
        <w:widowControl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请明确水果区排水横管安装位置。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w:t>
      </w:r>
      <w:r>
        <w:rPr>
          <w:rFonts w:hint="eastAsia" w:ascii="仿宋" w:hAnsi="仿宋" w:eastAsia="仿宋" w:cs="仿宋"/>
          <w:sz w:val="28"/>
          <w:szCs w:val="28"/>
          <w:highlight w:val="none"/>
          <w:lang w:val="en-US" w:eastAsia="zh-CN"/>
        </w:rPr>
        <w:t>此排水横干管安装于现状彩钢瓦之下，具体高度经业主同意后实施</w:t>
      </w:r>
      <w:r>
        <w:rPr>
          <w:rFonts w:hint="eastAsia" w:ascii="仿宋" w:hAnsi="仿宋" w:eastAsia="仿宋" w:cs="仿宋"/>
          <w:sz w:val="28"/>
          <w:szCs w:val="28"/>
          <w:highlight w:val="none"/>
        </w:rPr>
        <w:t>。</w:t>
      </w:r>
    </w:p>
    <w:p>
      <w:pPr>
        <w:rPr>
          <w:rFonts w:hint="eastAsia"/>
        </w:rPr>
      </w:pPr>
      <w:r>
        <w:rPr>
          <w:rFonts w:hint="eastAsia" w:ascii="仿宋" w:hAnsi="仿宋" w:eastAsia="仿宋" w:cs="仿宋"/>
          <w:sz w:val="28"/>
          <w:szCs w:val="28"/>
          <w:highlight w:val="none"/>
        </w:rPr>
        <w:drawing>
          <wp:anchor distT="0" distB="0" distL="114300" distR="114300" simplePos="0" relativeHeight="251662336" behindDoc="1" locked="0" layoutInCell="1" allowOverlap="1">
            <wp:simplePos x="0" y="0"/>
            <wp:positionH relativeFrom="column">
              <wp:posOffset>481330</wp:posOffset>
            </wp:positionH>
            <wp:positionV relativeFrom="paragraph">
              <wp:posOffset>160020</wp:posOffset>
            </wp:positionV>
            <wp:extent cx="4268470" cy="1918970"/>
            <wp:effectExtent l="0" t="0" r="17780" b="5080"/>
            <wp:wrapThrough wrapText="bothSides">
              <wp:wrapPolygon>
                <wp:start x="0" y="0"/>
                <wp:lineTo x="0" y="21443"/>
                <wp:lineTo x="21497" y="21443"/>
                <wp:lineTo x="21497" y="0"/>
                <wp:lineTo x="0" y="0"/>
              </wp:wrapPolygon>
            </wp:wrapThrough>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2"/>
                    <a:stretch>
                      <a:fillRect/>
                    </a:stretch>
                  </pic:blipFill>
                  <pic:spPr>
                    <a:xfrm>
                      <a:off x="0" y="0"/>
                      <a:ext cx="4268470" cy="1918970"/>
                    </a:xfrm>
                    <a:prstGeom prst="rect">
                      <a:avLst/>
                    </a:prstGeom>
                    <a:noFill/>
                    <a:ln>
                      <a:noFill/>
                    </a:ln>
                  </pic:spPr>
                </pic:pic>
              </a:graphicData>
            </a:graphic>
          </wp:anchor>
        </w:drawing>
      </w:r>
    </w:p>
    <w:p>
      <w:pPr>
        <w:pageBreakBefore w:val="0"/>
        <w:kinsoku/>
        <w:wordWrap/>
        <w:overflowPunct/>
        <w:topLinePunct w:val="0"/>
        <w:autoSpaceDE/>
        <w:autoSpaceDN/>
        <w:bidi w:val="0"/>
        <w:spacing w:line="560" w:lineRule="exact"/>
        <w:jc w:val="center"/>
        <w:textAlignment w:val="auto"/>
        <w:rPr>
          <w:rFonts w:hint="eastAsia" w:ascii="仿宋" w:hAnsi="仿宋" w:eastAsia="仿宋" w:cs="仿宋"/>
          <w:sz w:val="28"/>
          <w:szCs w:val="28"/>
          <w:highlight w:val="none"/>
        </w:rPr>
      </w:pPr>
    </w:p>
    <w:p>
      <w:pPr>
        <w:pageBreakBefore w:val="0"/>
        <w:kinsoku/>
        <w:wordWrap/>
        <w:overflowPunct/>
        <w:topLinePunct w:val="0"/>
        <w:autoSpaceDE/>
        <w:autoSpaceDN/>
        <w:bidi w:val="0"/>
        <w:spacing w:line="560" w:lineRule="exact"/>
        <w:jc w:val="center"/>
        <w:textAlignment w:val="auto"/>
        <w:rPr>
          <w:rFonts w:hint="eastAsia" w:ascii="仿宋" w:hAnsi="仿宋" w:eastAsia="仿宋" w:cs="仿宋"/>
          <w:sz w:val="28"/>
          <w:szCs w:val="28"/>
          <w:highlight w:val="none"/>
        </w:rPr>
      </w:pPr>
    </w:p>
    <w:p>
      <w:pPr>
        <w:pageBreakBefore w:val="0"/>
        <w:kinsoku/>
        <w:wordWrap/>
        <w:overflowPunct/>
        <w:topLinePunct w:val="0"/>
        <w:autoSpaceDE/>
        <w:autoSpaceDN/>
        <w:bidi w:val="0"/>
        <w:spacing w:line="560" w:lineRule="exact"/>
        <w:jc w:val="center"/>
        <w:textAlignment w:val="auto"/>
        <w:rPr>
          <w:rFonts w:hint="eastAsia" w:ascii="仿宋" w:hAnsi="仿宋" w:eastAsia="仿宋" w:cs="仿宋"/>
          <w:sz w:val="28"/>
          <w:szCs w:val="28"/>
          <w:highlight w:val="none"/>
        </w:rPr>
      </w:pP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p>
    <w:p>
      <w:pPr>
        <w:keepNext w:val="0"/>
        <w:keepLines w:val="0"/>
        <w:pageBreakBefore w:val="0"/>
        <w:widowControl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图纸量表管道清淤为1项,请明确管道管径以及淤泥工程量如何计算。</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Cs/>
          <w:color w:val="auto"/>
          <w:sz w:val="28"/>
          <w:szCs w:val="28"/>
          <w:highlight w:val="none"/>
        </w:rPr>
      </w:pPr>
      <w:r>
        <w:rPr>
          <w:rFonts w:hint="eastAsia" w:ascii="仿宋" w:hAnsi="仿宋" w:eastAsia="仿宋" w:cs="仿宋"/>
          <w:color w:val="auto"/>
          <w:kern w:val="2"/>
          <w:sz w:val="28"/>
          <w:szCs w:val="28"/>
          <w:highlight w:val="none"/>
          <w:lang w:val="en-US" w:eastAsia="zh-CN" w:bidi="ar-SA"/>
        </w:rPr>
        <w:t>回复：管道清淤，包括开挖修复和非开挖修复的排水管道清淤，需覆盖所有改造维修范围，清单按1项，最高投标限价按（d400）2000m，（d500）1600m，（d600）1000m，（d800）500m，清淤量按1/4管道截面积×管道长度考虑，列入排水工程副食品交易区分部分项清单中，投标人自行踏勘现场，综合报价，中标后不予调整。</w:t>
      </w:r>
    </w:p>
    <w:p>
      <w:pPr>
        <w:keepNext w:val="0"/>
        <w:keepLines w:val="0"/>
        <w:pageBreakBefore w:val="0"/>
        <w:widowControl w:val="0"/>
        <w:numPr>
          <w:ilvl w:val="0"/>
          <w:numId w:val="3"/>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室外敷设于一层挑檐上的消防给水管是否需要保温？</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r>
        <w:rPr>
          <w:rFonts w:hint="eastAsia" w:ascii="仿宋" w:hAnsi="仿宋" w:eastAsia="仿宋" w:cs="仿宋"/>
          <w:kern w:val="2"/>
          <w:sz w:val="28"/>
          <w:szCs w:val="28"/>
          <w:highlight w:val="none"/>
          <w:lang w:val="en-US" w:eastAsia="zh-CN" w:bidi="ar-SA"/>
        </w:rPr>
        <w:t>回复：室外消防给水管需要保温。采用防火等级B1级闭孔橡塑海棉保温，厚度50mm外包1mm难燃型夹筋铝板保护。管道保温做法按国标16S401执行，节点大样图详16S401，P51页。</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道路工程</w:t>
      </w:r>
    </w:p>
    <w:p>
      <w:pPr>
        <w:pageBreakBefore w:val="0"/>
        <w:numPr>
          <w:ilvl w:val="0"/>
          <w:numId w:val="4"/>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请明确路面结构层是否需要加宽。</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回复：商业楼及交易区内均不加宽，商业楼道路范围以商户门前散水至市政道路人行道外边线，交易区以开挖修复范围为准。</w:t>
      </w:r>
    </w:p>
    <w:p>
      <w:pPr>
        <w:pageBreakBefore w:val="0"/>
        <w:numPr>
          <w:ilvl w:val="0"/>
          <w:numId w:val="4"/>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请明确岗亭的规格材质</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提供</w:t>
      </w:r>
      <w:r>
        <w:rPr>
          <w:rFonts w:hint="eastAsia" w:ascii="仿宋" w:hAnsi="仿宋" w:eastAsia="仿宋" w:cs="仿宋"/>
          <w:bCs/>
          <w:sz w:val="28"/>
          <w:szCs w:val="28"/>
          <w:highlight w:val="none"/>
        </w:rPr>
        <w:t>意向图。</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回复：采用不锈钢成品岗亭，规格1.5m×1.5m×2m</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含固定桌面、PZ30配电箱、弱电机柜</w:t>
      </w:r>
      <w:r>
        <w:rPr>
          <w:rFonts w:hint="eastAsia" w:ascii="仿宋" w:hAnsi="仿宋" w:eastAsia="仿宋" w:cs="仿宋"/>
          <w:sz w:val="28"/>
          <w:szCs w:val="28"/>
          <w:highlight w:val="none"/>
          <w:lang w:eastAsia="zh-CN"/>
        </w:rPr>
        <w:t>等）</w:t>
      </w:r>
      <w:r>
        <w:rPr>
          <w:rFonts w:hint="eastAsia" w:ascii="仿宋" w:hAnsi="仿宋" w:eastAsia="仿宋" w:cs="仿宋"/>
          <w:sz w:val="28"/>
          <w:szCs w:val="28"/>
          <w:highlight w:val="none"/>
        </w:rPr>
        <w:t>。</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b/>
          <w:bCs/>
          <w:sz w:val="28"/>
          <w:szCs w:val="28"/>
          <w:highlight w:val="none"/>
        </w:rPr>
      </w:pPr>
      <w:r>
        <w:rPr>
          <w:rFonts w:hint="eastAsia" w:ascii="仿宋" w:hAnsi="仿宋" w:eastAsia="仿宋" w:cs="仿宋"/>
          <w:color w:val="000000"/>
          <w:sz w:val="28"/>
          <w:szCs w:val="28"/>
          <w:highlight w:val="none"/>
        </w:rPr>
        <w:drawing>
          <wp:anchor distT="0" distB="0" distL="114300" distR="114300" simplePos="0" relativeHeight="251660288" behindDoc="0" locked="0" layoutInCell="1" allowOverlap="1">
            <wp:simplePos x="0" y="0"/>
            <wp:positionH relativeFrom="column">
              <wp:posOffset>2012950</wp:posOffset>
            </wp:positionH>
            <wp:positionV relativeFrom="paragraph">
              <wp:posOffset>22225</wp:posOffset>
            </wp:positionV>
            <wp:extent cx="1452880" cy="1612900"/>
            <wp:effectExtent l="0" t="0" r="13970" b="6350"/>
            <wp:wrapTopAndBottom/>
            <wp:docPr id="255356691" name="图片 255356691" descr="ceaf80374fe4aaa97f5b4987902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356691" name="图片 255356691" descr="ceaf80374fe4aaa97f5b49879020085"/>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52880" cy="1612900"/>
                    </a:xfrm>
                    <a:prstGeom prst="rect">
                      <a:avLst/>
                    </a:prstGeom>
                  </pic:spPr>
                </pic:pic>
              </a:graphicData>
            </a:graphic>
          </wp:anchor>
        </w:drawing>
      </w:r>
      <w:r>
        <w:rPr>
          <w:rFonts w:hint="eastAsia" w:ascii="仿宋" w:hAnsi="仿宋" w:eastAsia="仿宋" w:cs="仿宋"/>
          <w:b/>
          <w:bCs/>
          <w:sz w:val="28"/>
          <w:szCs w:val="28"/>
          <w:highlight w:val="none"/>
        </w:rPr>
        <w:t>建筑工程</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地库护角板平面图中无示意，请提供平面标注示意图或工程量。</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回复：护脚板安装于地库</w:t>
      </w:r>
      <w:r>
        <w:rPr>
          <w:rFonts w:hint="eastAsia" w:ascii="仿宋" w:hAnsi="仿宋" w:eastAsia="仿宋" w:cs="仿宋"/>
          <w:color w:val="000000" w:themeColor="text1"/>
          <w:sz w:val="28"/>
          <w:szCs w:val="28"/>
          <w:highlight w:val="none"/>
          <w:lang w:val="en-US" w:eastAsia="zh-CN"/>
          <w14:textFill>
            <w14:solidFill>
              <w14:schemeClr w14:val="tx1"/>
            </w14:solidFill>
          </w14:textFill>
        </w:rPr>
        <w:t>内部</w:t>
      </w:r>
      <w:r>
        <w:rPr>
          <w:rFonts w:hint="eastAsia" w:ascii="仿宋" w:hAnsi="仿宋" w:eastAsia="仿宋" w:cs="仿宋"/>
          <w:color w:val="000000" w:themeColor="text1"/>
          <w:sz w:val="28"/>
          <w:szCs w:val="28"/>
          <w:highlight w:val="none"/>
          <w14:textFill>
            <w14:solidFill>
              <w14:schemeClr w14:val="tx1"/>
            </w14:solidFill>
          </w14:textFill>
        </w:rPr>
        <w:t>柱子四周，地库四周墙柱不考虑。</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请明确热熔标线的具体做法。</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drawing>
          <wp:anchor distT="0" distB="0" distL="114300" distR="114300" simplePos="0" relativeHeight="251663360" behindDoc="1" locked="0" layoutInCell="1" allowOverlap="1">
            <wp:simplePos x="0" y="0"/>
            <wp:positionH relativeFrom="column">
              <wp:posOffset>1126490</wp:posOffset>
            </wp:positionH>
            <wp:positionV relativeFrom="paragraph">
              <wp:posOffset>16510</wp:posOffset>
            </wp:positionV>
            <wp:extent cx="3180715" cy="2072640"/>
            <wp:effectExtent l="0" t="0" r="38735" b="41910"/>
            <wp:wrapThrough wrapText="bothSides">
              <wp:wrapPolygon>
                <wp:start x="0" y="0"/>
                <wp:lineTo x="0" y="21441"/>
                <wp:lineTo x="21475" y="21441"/>
                <wp:lineTo x="21475" y="0"/>
                <wp:lineTo x="0" y="0"/>
              </wp:wrapPolygon>
            </wp:wrapThrough>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3180715" cy="2072640"/>
                    </a:xfrm>
                    <a:prstGeom prst="rect">
                      <a:avLst/>
                    </a:prstGeom>
                    <a:noFill/>
                    <a:ln>
                      <a:noFill/>
                    </a:ln>
                  </pic:spPr>
                </pic:pic>
              </a:graphicData>
            </a:graphic>
          </wp:anchor>
        </w:drawing>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回复：道路分道线，线宽150mm；车位线，线宽100mm；导向箭头详见</w:t>
      </w:r>
      <w:r>
        <w:rPr>
          <w:rFonts w:hint="eastAsia" w:ascii="仿宋" w:hAnsi="仿宋" w:eastAsia="仿宋" w:cs="仿宋"/>
          <w:sz w:val="28"/>
          <w:szCs w:val="28"/>
          <w:highlight w:val="none"/>
          <w:lang w:val="en-US" w:eastAsia="zh-CN"/>
        </w:rPr>
        <w:t>上图</w:t>
      </w:r>
      <w:r>
        <w:rPr>
          <w:rFonts w:hint="eastAsia" w:ascii="仿宋" w:hAnsi="仿宋" w:eastAsia="仿宋" w:cs="仿宋"/>
          <w:sz w:val="28"/>
          <w:szCs w:val="28"/>
          <w:highlight w:val="none"/>
        </w:rPr>
        <w:t>。</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请明确</w:t>
      </w:r>
      <w:r>
        <w:rPr>
          <w:rFonts w:hint="eastAsia" w:ascii="仿宋" w:hAnsi="仿宋" w:eastAsia="仿宋" w:cs="仿宋"/>
          <w:color w:val="auto"/>
          <w:sz w:val="28"/>
          <w:szCs w:val="28"/>
          <w:highlight w:val="none"/>
        </w:rPr>
        <w:t>2#楼东电梯厅</w:t>
      </w:r>
      <w:r>
        <w:rPr>
          <w:rFonts w:hint="eastAsia" w:ascii="仿宋" w:hAnsi="仿宋" w:eastAsia="仿宋" w:cs="仿宋"/>
          <w:color w:val="auto"/>
          <w:sz w:val="28"/>
          <w:szCs w:val="28"/>
          <w:highlight w:val="none"/>
          <w:lang w:val="en-US" w:eastAsia="zh-CN"/>
        </w:rPr>
        <w:t>墙面、顶面、地面的具体做法</w:t>
      </w:r>
      <w:r>
        <w:rPr>
          <w:rFonts w:hint="eastAsia" w:ascii="仿宋" w:hAnsi="仿宋" w:eastAsia="仿宋" w:cs="仿宋"/>
          <w:bCs/>
          <w:color w:val="auto"/>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回复：2#楼东电梯厅</w:t>
      </w:r>
      <w:r>
        <w:rPr>
          <w:rFonts w:hint="eastAsia" w:ascii="仿宋" w:hAnsi="仿宋" w:eastAsia="仿宋" w:cs="仿宋"/>
          <w:color w:val="auto"/>
          <w:sz w:val="28"/>
          <w:szCs w:val="28"/>
          <w:highlight w:val="none"/>
          <w:lang w:val="en-US" w:eastAsia="zh-CN"/>
        </w:rPr>
        <w:t>墙及顶面做法：耐水防霉腻子2遍、防霉白色无机涂料1底2面，地面做法同地库地面</w:t>
      </w:r>
      <w:r>
        <w:rPr>
          <w:rFonts w:hint="eastAsia" w:ascii="仿宋" w:hAnsi="仿宋" w:eastAsia="仿宋" w:cs="仿宋"/>
          <w:color w:val="auto"/>
          <w:sz w:val="28"/>
          <w:szCs w:val="28"/>
          <w:highlight w:val="none"/>
        </w:rPr>
        <w:t>。</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请提供原楼地面、墙面、天棚做法及厚度？</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回复：详见</w:t>
      </w:r>
      <w:r>
        <w:rPr>
          <w:rFonts w:hint="eastAsia" w:ascii="仿宋" w:hAnsi="仿宋" w:eastAsia="仿宋" w:cs="仿宋"/>
          <w:color w:val="auto"/>
          <w:sz w:val="28"/>
          <w:szCs w:val="28"/>
          <w:highlight w:val="none"/>
          <w:lang w:val="en-US" w:eastAsia="zh-CN"/>
        </w:rPr>
        <w:t>下图</w:t>
      </w:r>
      <w:r>
        <w:rPr>
          <w:rFonts w:hint="eastAsia" w:ascii="仿宋" w:hAnsi="仿宋" w:eastAsia="仿宋" w:cs="仿宋"/>
          <w:color w:val="auto"/>
          <w:sz w:val="28"/>
          <w:szCs w:val="28"/>
          <w:highlight w:val="none"/>
        </w:rPr>
        <w:t>。</w:t>
      </w:r>
    </w:p>
    <w:p>
      <w:pPr>
        <w:jc w:val="center"/>
        <w:rPr>
          <w:rFonts w:hint="eastAsia"/>
        </w:rPr>
      </w:pPr>
      <w:r>
        <w:drawing>
          <wp:inline distT="0" distB="0" distL="114300" distR="114300">
            <wp:extent cx="4339590" cy="4122420"/>
            <wp:effectExtent l="0" t="0" r="381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4339590" cy="4122420"/>
                    </a:xfrm>
                    <a:prstGeom prst="rect">
                      <a:avLst/>
                    </a:prstGeom>
                    <a:noFill/>
                    <a:ln>
                      <a:noFill/>
                    </a:ln>
                  </pic:spPr>
                </pic:pic>
              </a:graphicData>
            </a:graphic>
          </wp:inline>
        </w:drawing>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lang w:val="en-US" w:eastAsia="zh-CN"/>
          <w14:textFill>
            <w14:solidFill>
              <w14:schemeClr w14:val="tx1"/>
            </w14:solidFill>
          </w14:textFill>
        </w:rPr>
        <w:t>请明确</w:t>
      </w:r>
      <w:r>
        <w:rPr>
          <w:rFonts w:hint="eastAsia" w:ascii="仿宋" w:hAnsi="仿宋" w:eastAsia="仿宋" w:cs="仿宋"/>
          <w:bCs/>
          <w:color w:val="000000" w:themeColor="text1"/>
          <w:sz w:val="28"/>
          <w:szCs w:val="28"/>
          <w:highlight w:val="none"/>
          <w14:textFill>
            <w14:solidFill>
              <w14:schemeClr w14:val="tx1"/>
            </w14:solidFill>
          </w14:textFill>
        </w:rPr>
        <w:t>护角板、标识、标线车档等做法</w:t>
      </w:r>
      <w:r>
        <w:rPr>
          <w:rFonts w:hint="eastAsia" w:ascii="仿宋" w:hAnsi="仿宋" w:eastAsia="仿宋" w:cs="仿宋"/>
          <w:bCs/>
          <w:color w:val="000000" w:themeColor="text1"/>
          <w:sz w:val="28"/>
          <w:szCs w:val="28"/>
          <w:highlight w:val="none"/>
          <w:lang w:eastAsia="zh-CN"/>
          <w14:textFill>
            <w14:solidFill>
              <w14:schemeClr w14:val="tx1"/>
            </w14:solidFill>
          </w14:textFill>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回复：成品护角板</w:t>
      </w:r>
      <w:r>
        <w:rPr>
          <w:rFonts w:hint="eastAsia" w:ascii="仿宋" w:hAnsi="仿宋" w:eastAsia="仿宋" w:cs="仿宋"/>
          <w:color w:val="000000" w:themeColor="text1"/>
          <w:sz w:val="28"/>
          <w:szCs w:val="28"/>
          <w:highlight w:val="none"/>
          <w:lang w:val="en-US" w:eastAsia="zh-CN"/>
          <w14:textFill>
            <w14:solidFill>
              <w14:schemeClr w14:val="tx1"/>
            </w14:solidFill>
          </w14:textFill>
        </w:rPr>
        <w:t>为</w:t>
      </w:r>
      <w:r>
        <w:rPr>
          <w:rFonts w:hint="eastAsia" w:ascii="仿宋" w:hAnsi="仿宋" w:eastAsia="仿宋" w:cs="仿宋"/>
          <w:color w:val="000000" w:themeColor="text1"/>
          <w:sz w:val="28"/>
          <w:szCs w:val="28"/>
          <w:highlight w:val="none"/>
          <w14:textFill>
            <w14:solidFill>
              <w14:schemeClr w14:val="tx1"/>
            </w14:solidFill>
          </w14:textFill>
        </w:rPr>
        <w:t>PVC材质圆护角，尺寸1500×100×10mm。成品车挡</w:t>
      </w:r>
      <w:r>
        <w:rPr>
          <w:rFonts w:hint="eastAsia" w:ascii="仿宋" w:hAnsi="仿宋" w:eastAsia="仿宋" w:cs="仿宋"/>
          <w:color w:val="000000" w:themeColor="text1"/>
          <w:sz w:val="28"/>
          <w:szCs w:val="28"/>
          <w:highlight w:val="none"/>
          <w:lang w:val="en-US" w:eastAsia="zh-CN"/>
          <w14:textFill>
            <w14:solidFill>
              <w14:schemeClr w14:val="tx1"/>
            </w14:solidFill>
          </w14:textFill>
        </w:rPr>
        <w:t>采用</w:t>
      </w:r>
      <w:r>
        <w:rPr>
          <w:rFonts w:hint="eastAsia" w:ascii="仿宋" w:hAnsi="仿宋" w:eastAsia="仿宋" w:cs="仿宋"/>
          <w:color w:val="000000" w:themeColor="text1"/>
          <w:sz w:val="28"/>
          <w:szCs w:val="28"/>
          <w:highlight w:val="none"/>
          <w14:textFill>
            <w14:solidFill>
              <w14:schemeClr w14:val="tx1"/>
            </w14:solidFill>
          </w14:textFill>
        </w:rPr>
        <w:t>橡胶材质，尺寸540×135×80mm。成品标牌</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标识</w:t>
      </w:r>
      <w:r>
        <w:rPr>
          <w:rFonts w:hint="eastAsia" w:ascii="仿宋" w:hAnsi="仿宋" w:eastAsia="仿宋" w:cs="仿宋"/>
          <w:color w:val="000000" w:themeColor="text1"/>
          <w:sz w:val="28"/>
          <w:szCs w:val="28"/>
          <w:highlight w:val="none"/>
          <w14:textFill>
            <w14:solidFill>
              <w14:schemeClr w14:val="tx1"/>
            </w14:solidFill>
          </w14:textFill>
        </w:rPr>
        <w:t>采用PVC材质、热熔反光标线。</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请明确集水坑盖板做法及平面位置。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回复：采用成品压纹不锈钢盖板，规格及数量见“S-JZ-06 地下车库U型排水沟平面图 ”，地下车库电梯及设备房门口U型沟均设置不锈钢盖板，累计长度为24.6m，宽度同U形沟。</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现有排水沟、集水井内防水做法是否重做</w:t>
      </w:r>
      <w:r>
        <w:rPr>
          <w:rFonts w:hint="eastAsia" w:ascii="仿宋" w:hAnsi="仿宋" w:eastAsia="仿宋" w:cs="仿宋"/>
          <w:bCs/>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回复：不重做。</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原截水沟盖板是否更换</w:t>
      </w:r>
      <w:r>
        <w:rPr>
          <w:rFonts w:hint="eastAsia" w:ascii="仿宋" w:hAnsi="仿宋" w:eastAsia="仿宋" w:cs="仿宋"/>
          <w:bCs/>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回复：截水沟盖板更换为300×300球墨铸铁篦子，工程量</w:t>
      </w:r>
      <w:r>
        <w:rPr>
          <w:rFonts w:hint="eastAsia" w:ascii="仿宋" w:hAnsi="仿宋" w:eastAsia="仿宋" w:cs="仿宋"/>
          <w:sz w:val="28"/>
          <w:szCs w:val="28"/>
          <w:highlight w:val="none"/>
          <w:lang w:val="en-US" w:eastAsia="zh-CN"/>
        </w:rPr>
        <w:t>为28m</w:t>
      </w:r>
      <w:r>
        <w:rPr>
          <w:rFonts w:hint="eastAsia" w:ascii="仿宋" w:hAnsi="仿宋" w:eastAsia="仿宋" w:cs="仿宋"/>
          <w:sz w:val="28"/>
          <w:szCs w:val="28"/>
          <w:highlight w:val="none"/>
        </w:rPr>
        <w:t>。</w:t>
      </w:r>
    </w:p>
    <w:p>
      <w:pPr>
        <w:pageBreakBefore w:val="0"/>
        <w:numPr>
          <w:ilvl w:val="0"/>
          <w:numId w:val="5"/>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如下图所示</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请明确箭头所示的过路钢管的</w:t>
      </w:r>
      <w:r>
        <w:rPr>
          <w:rFonts w:hint="eastAsia" w:ascii="仿宋" w:hAnsi="仿宋" w:eastAsia="仿宋" w:cs="仿宋"/>
          <w:bCs/>
          <w:sz w:val="28"/>
          <w:szCs w:val="28"/>
          <w:highlight w:val="none"/>
          <w:lang w:val="en-US" w:eastAsia="zh-CN"/>
        </w:rPr>
        <w:t>材质</w:t>
      </w:r>
      <w:r>
        <w:rPr>
          <w:rFonts w:hint="eastAsia" w:ascii="仿宋" w:hAnsi="仿宋" w:eastAsia="仿宋" w:cs="仿宋"/>
          <w:bCs/>
          <w:sz w:val="28"/>
          <w:szCs w:val="28"/>
          <w:highlight w:val="none"/>
        </w:rPr>
        <w:t>?</w:t>
      </w:r>
    </w:p>
    <w:p>
      <w:pPr>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28"/>
          <w:szCs w:val="28"/>
          <w:highlight w:val="none"/>
        </w:rPr>
      </w:pPr>
      <w:r>
        <w:rPr>
          <w:rFonts w:hint="eastAsia" w:ascii="仿宋" w:hAnsi="仿宋" w:eastAsia="仿宋" w:cs="仿宋"/>
          <w:sz w:val="28"/>
          <w:szCs w:val="28"/>
          <w:highlight w:val="none"/>
        </w:rPr>
        <w:drawing>
          <wp:anchor distT="0" distB="0" distL="114300" distR="114300" simplePos="0" relativeHeight="251665408" behindDoc="1" locked="0" layoutInCell="1" allowOverlap="1">
            <wp:simplePos x="0" y="0"/>
            <wp:positionH relativeFrom="column">
              <wp:posOffset>526415</wp:posOffset>
            </wp:positionH>
            <wp:positionV relativeFrom="paragraph">
              <wp:posOffset>22225</wp:posOffset>
            </wp:positionV>
            <wp:extent cx="3787775" cy="2052955"/>
            <wp:effectExtent l="0" t="0" r="3175" b="4445"/>
            <wp:wrapThrough wrapText="bothSides">
              <wp:wrapPolygon>
                <wp:start x="0" y="0"/>
                <wp:lineTo x="0" y="21446"/>
                <wp:lineTo x="21509" y="21446"/>
                <wp:lineTo x="21509" y="0"/>
                <wp:lineTo x="0" y="0"/>
              </wp:wrapPolygon>
            </wp:wrapThrough>
            <wp:docPr id="44" name="picture" descr="descript"/>
            <wp:cNvGraphicFramePr/>
            <a:graphic xmlns:a="http://schemas.openxmlformats.org/drawingml/2006/main">
              <a:graphicData uri="http://schemas.openxmlformats.org/drawingml/2006/picture">
                <pic:pic xmlns:pic="http://schemas.openxmlformats.org/drawingml/2006/picture">
                  <pic:nvPicPr>
                    <pic:cNvPr id="44" name="picture" descr="descrip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87775" cy="2052955"/>
                    </a:xfrm>
                    <a:prstGeom prst="rect">
                      <a:avLst/>
                    </a:prstGeom>
                  </pic:spPr>
                </pic:pic>
              </a:graphicData>
            </a:graphic>
          </wp:anchor>
        </w:drawing>
      </w:r>
    </w:p>
    <w:p>
      <w:pPr>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28"/>
          <w:szCs w:val="28"/>
          <w:highlight w:val="none"/>
        </w:rPr>
      </w:pPr>
    </w:p>
    <w:p>
      <w:pPr>
        <w:pageBreakBefore w:val="0"/>
        <w:shd w:val="clear" w:color="auto" w:fill="FFFFFF"/>
        <w:kinsoku/>
        <w:wordWrap/>
        <w:overflowPunct/>
        <w:topLinePunct w:val="0"/>
        <w:autoSpaceDE/>
        <w:autoSpaceDN/>
        <w:bidi w:val="0"/>
        <w:adjustRightInd w:val="0"/>
        <w:snapToGrid w:val="0"/>
        <w:spacing w:line="560" w:lineRule="exact"/>
        <w:ind w:left="420" w:leftChars="200" w:firstLine="0" w:firstLineChars="0"/>
        <w:jc w:val="center"/>
        <w:textAlignment w:val="auto"/>
        <w:rPr>
          <w:rFonts w:hint="eastAsia" w:ascii="仿宋" w:hAnsi="仿宋" w:eastAsia="仿宋" w:cs="仿宋"/>
          <w:bCs/>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回复:采用Q235镀锌钢管</w:t>
      </w:r>
      <w:r>
        <w:rPr>
          <w:rFonts w:hint="eastAsia" w:ascii="仿宋" w:hAnsi="仿宋" w:eastAsia="仿宋" w:cs="仿宋"/>
          <w:sz w:val="28"/>
          <w:szCs w:val="28"/>
          <w:highlight w:val="none"/>
          <w:lang w:val="en-US" w:eastAsia="zh-CN"/>
        </w:rPr>
        <w:t>埋地</w:t>
      </w:r>
      <w:r>
        <w:rPr>
          <w:rFonts w:hint="eastAsia" w:ascii="仿宋" w:hAnsi="仿宋" w:eastAsia="仿宋" w:cs="仿宋"/>
          <w:sz w:val="28"/>
          <w:szCs w:val="28"/>
          <w:highlight w:val="none"/>
        </w:rPr>
        <w:t>。</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电动推拉棚</w:t>
      </w:r>
      <w:r>
        <w:rPr>
          <w:rFonts w:hint="eastAsia" w:ascii="仿宋" w:hAnsi="仿宋" w:eastAsia="仿宋" w:cs="仿宋"/>
          <w:b/>
          <w:bCs/>
          <w:sz w:val="28"/>
          <w:szCs w:val="28"/>
          <w:highlight w:val="none"/>
        </w:rPr>
        <w:t>工程</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请提供12#</w:t>
      </w:r>
      <w:r>
        <w:rPr>
          <w:rFonts w:hint="eastAsia" w:ascii="仿宋" w:hAnsi="仿宋" w:eastAsia="仿宋" w:cs="仿宋"/>
          <w:bCs/>
          <w:color w:val="auto"/>
          <w:sz w:val="28"/>
          <w:szCs w:val="28"/>
          <w:highlight w:val="none"/>
          <w:lang w:eastAsia="zh-CN"/>
        </w:rPr>
        <w:t>电动推拉棚</w:t>
      </w:r>
      <w:r>
        <w:rPr>
          <w:rFonts w:hint="eastAsia" w:ascii="仿宋" w:hAnsi="仿宋" w:eastAsia="仿宋" w:cs="仿宋"/>
          <w:bCs/>
          <w:color w:val="auto"/>
          <w:sz w:val="28"/>
          <w:szCs w:val="28"/>
          <w:highlight w:val="none"/>
        </w:rPr>
        <w:t>侧边柱平面图和大样图</w:t>
      </w:r>
      <w:r>
        <w:rPr>
          <w:rFonts w:hint="eastAsia" w:ascii="仿宋" w:hAnsi="仿宋" w:eastAsia="仿宋" w:cs="仿宋"/>
          <w:bCs/>
          <w:color w:val="auto"/>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回复：12#结构侧边柱平面图和大样图基础尺寸按常规</w:t>
      </w:r>
      <w:r>
        <w:rPr>
          <w:rFonts w:hint="eastAsia" w:ascii="仿宋" w:hAnsi="仿宋" w:eastAsia="仿宋" w:cs="仿宋"/>
          <w:color w:val="auto"/>
          <w:sz w:val="28"/>
          <w:szCs w:val="28"/>
          <w:highlight w:val="none"/>
          <w:lang w:eastAsia="zh-CN"/>
        </w:rPr>
        <w:t>电动推拉棚</w:t>
      </w:r>
      <w:r>
        <w:rPr>
          <w:rFonts w:hint="eastAsia" w:ascii="仿宋" w:hAnsi="仿宋" w:eastAsia="仿宋" w:cs="仿宋"/>
          <w:color w:val="auto"/>
          <w:sz w:val="28"/>
          <w:szCs w:val="28"/>
          <w:highlight w:val="none"/>
        </w:rPr>
        <w:t>考虑设计，最终以二次深化设计为准，清单工程量以示意图纸计算。</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请</w:t>
      </w:r>
      <w:r>
        <w:rPr>
          <w:rFonts w:hint="eastAsia" w:ascii="仿宋" w:hAnsi="仿宋" w:eastAsia="仿宋" w:cs="仿宋"/>
          <w:bCs/>
          <w:color w:val="auto"/>
          <w:sz w:val="28"/>
          <w:szCs w:val="28"/>
          <w:highlight w:val="none"/>
        </w:rPr>
        <w:t>明确排水管布置</w:t>
      </w:r>
      <w:r>
        <w:rPr>
          <w:rFonts w:hint="eastAsia" w:ascii="仿宋" w:hAnsi="仿宋" w:eastAsia="仿宋" w:cs="仿宋"/>
          <w:bCs/>
          <w:color w:val="auto"/>
          <w:sz w:val="28"/>
          <w:szCs w:val="28"/>
          <w:highlight w:val="none"/>
          <w:lang w:val="en-US" w:eastAsia="zh-CN"/>
        </w:rPr>
        <w:t>形式</w:t>
      </w:r>
      <w:r>
        <w:rPr>
          <w:rFonts w:hint="eastAsia" w:ascii="仿宋" w:hAnsi="仿宋" w:eastAsia="仿宋" w:cs="仿宋"/>
          <w:bCs/>
          <w:color w:val="auto"/>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回复：间隔布置，四米一条。</w:t>
      </w:r>
    </w:p>
    <w:p>
      <w:pPr>
        <w:keepNext w:val="0"/>
        <w:keepLines w:val="0"/>
        <w:pageBreakBefore w:val="0"/>
        <w:widowControl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请明确膜棚钢结构中除镀锌构件外其余部分构件是否考虑除锈工艺</w:t>
      </w:r>
      <w:r>
        <w:rPr>
          <w:rFonts w:hint="eastAsia" w:ascii="仿宋" w:hAnsi="仿宋" w:eastAsia="仿宋" w:cs="仿宋"/>
          <w:bCs/>
          <w:color w:val="auto"/>
          <w:sz w:val="28"/>
          <w:szCs w:val="28"/>
          <w:highlight w:val="none"/>
          <w:lang w:eastAsia="zh-CN"/>
        </w:rPr>
        <w:t>。</w:t>
      </w:r>
    </w:p>
    <w:p>
      <w:pPr>
        <w:pStyle w:val="7"/>
        <w:keepNext w:val="0"/>
        <w:keepLines w:val="0"/>
        <w:pageBreakBefore w:val="0"/>
        <w:widowControl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回复：除镀锌构件外其余部分构件都需要除锈。</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钢结构是否涂刷</w:t>
      </w:r>
      <w:r>
        <w:rPr>
          <w:rFonts w:hint="eastAsia" w:ascii="仿宋" w:hAnsi="仿宋" w:eastAsia="仿宋" w:cs="仿宋"/>
          <w:bCs/>
          <w:color w:val="auto"/>
          <w:sz w:val="28"/>
          <w:szCs w:val="28"/>
          <w:highlight w:val="none"/>
          <w:lang w:val="en-US" w:eastAsia="zh-CN"/>
        </w:rPr>
        <w:t>防锈</w:t>
      </w:r>
      <w:r>
        <w:rPr>
          <w:rFonts w:hint="eastAsia" w:ascii="仿宋" w:hAnsi="仿宋" w:eastAsia="仿宋" w:cs="仿宋"/>
          <w:bCs/>
          <w:color w:val="auto"/>
          <w:sz w:val="28"/>
          <w:szCs w:val="28"/>
          <w:highlight w:val="none"/>
        </w:rPr>
        <w:t>防火</w:t>
      </w:r>
      <w:r>
        <w:rPr>
          <w:rFonts w:hint="eastAsia" w:ascii="仿宋" w:hAnsi="仿宋" w:eastAsia="仿宋" w:cs="仿宋"/>
          <w:bCs/>
          <w:color w:val="auto"/>
          <w:sz w:val="28"/>
          <w:szCs w:val="28"/>
          <w:highlight w:val="none"/>
          <w:lang w:val="en-US" w:eastAsia="zh-CN"/>
        </w:rPr>
        <w:t>防腐</w:t>
      </w:r>
      <w:r>
        <w:rPr>
          <w:rFonts w:hint="eastAsia" w:ascii="仿宋" w:hAnsi="仿宋" w:eastAsia="仿宋" w:cs="仿宋"/>
          <w:bCs/>
          <w:color w:val="auto"/>
          <w:sz w:val="28"/>
          <w:szCs w:val="28"/>
          <w:highlight w:val="none"/>
        </w:rPr>
        <w:t>涂料，请明确种类及做法</w:t>
      </w:r>
      <w:r>
        <w:rPr>
          <w:rFonts w:hint="eastAsia" w:ascii="仿宋" w:hAnsi="仿宋" w:eastAsia="仿宋" w:cs="仿宋"/>
          <w:bCs/>
          <w:color w:val="auto"/>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回复：室外不需要做防火涂料，未镀锌部分均做防锈处理，防腐详见图纸说明。</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请明确牛腿及轨道H型钢厚度？</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回复：7mm厚。</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请提供电动大棚的</w:t>
      </w:r>
      <w:r>
        <w:rPr>
          <w:rFonts w:hint="eastAsia" w:ascii="仿宋" w:hAnsi="仿宋" w:eastAsia="仿宋" w:cs="仿宋"/>
          <w:bCs/>
          <w:color w:val="auto"/>
          <w:sz w:val="28"/>
          <w:szCs w:val="28"/>
          <w:highlight w:val="none"/>
          <w:lang w:val="en-US" w:eastAsia="zh-CN"/>
        </w:rPr>
        <w:t>电缆规格型号</w:t>
      </w:r>
      <w:r>
        <w:rPr>
          <w:rFonts w:hint="eastAsia" w:ascii="仿宋" w:hAnsi="仿宋" w:eastAsia="仿宋" w:cs="仿宋"/>
          <w:bCs/>
          <w:color w:val="auto"/>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回复：由最近单体配电箱接电引入（每个</w:t>
      </w:r>
      <w:r>
        <w:rPr>
          <w:rFonts w:hint="eastAsia" w:ascii="仿宋" w:hAnsi="仿宋" w:eastAsia="仿宋" w:cs="仿宋"/>
          <w:color w:val="auto"/>
          <w:sz w:val="28"/>
          <w:szCs w:val="28"/>
          <w:highlight w:val="none"/>
          <w:lang w:eastAsia="zh-CN"/>
        </w:rPr>
        <w:t>电动推拉棚</w:t>
      </w:r>
      <w:r>
        <w:rPr>
          <w:rFonts w:hint="eastAsia" w:ascii="仿宋" w:hAnsi="仿宋" w:eastAsia="仿宋" w:cs="仿宋"/>
          <w:color w:val="auto"/>
          <w:sz w:val="28"/>
          <w:szCs w:val="28"/>
          <w:highlight w:val="none"/>
        </w:rPr>
        <w:t>棚伸缩电机的主电缆YJV22-0.6/1-4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10,长度按65m考虑,电缆保护管按镀锌钢管DN50考虑，电机型号：BZDY-23-4;额定电压：AC380/660;额定功率：2.2KW。</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请提供</w:t>
      </w:r>
      <w:r>
        <w:rPr>
          <w:rFonts w:hint="eastAsia" w:ascii="仿宋" w:hAnsi="仿宋" w:eastAsia="仿宋" w:cs="仿宋"/>
          <w:bCs/>
          <w:color w:val="auto"/>
          <w:sz w:val="28"/>
          <w:szCs w:val="28"/>
          <w:highlight w:val="none"/>
          <w:lang w:eastAsia="zh-CN"/>
        </w:rPr>
        <w:t>电动推拉棚</w:t>
      </w:r>
      <w:r>
        <w:rPr>
          <w:rFonts w:hint="eastAsia" w:ascii="仿宋" w:hAnsi="仿宋" w:eastAsia="仿宋" w:cs="仿宋"/>
          <w:bCs/>
          <w:color w:val="auto"/>
          <w:sz w:val="28"/>
          <w:szCs w:val="28"/>
          <w:highlight w:val="none"/>
        </w:rPr>
        <w:t>与既有建筑物锚固支撑详细做法。</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回复：植筋方法M24、M20化学螺栓植入原有混凝土立柱上，M24垫板尺寸为400×300×16mm,M20垫板尺寸为300×260×16mm，锚固长度300mm从而固定牛腿。</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请提供</w:t>
      </w:r>
      <w:r>
        <w:rPr>
          <w:rFonts w:hint="eastAsia" w:ascii="仿宋" w:hAnsi="仿宋" w:eastAsia="仿宋" w:cs="仿宋"/>
          <w:bCs/>
          <w:color w:val="auto"/>
          <w:sz w:val="28"/>
          <w:szCs w:val="28"/>
          <w:highlight w:val="none"/>
          <w:lang w:eastAsia="zh-CN"/>
        </w:rPr>
        <w:t>电动推拉棚</w:t>
      </w:r>
      <w:r>
        <w:rPr>
          <w:rFonts w:hint="eastAsia" w:ascii="仿宋" w:hAnsi="仿宋" w:eastAsia="仿宋" w:cs="仿宋"/>
          <w:bCs/>
          <w:color w:val="auto"/>
          <w:sz w:val="28"/>
          <w:szCs w:val="28"/>
          <w:highlight w:val="none"/>
        </w:rPr>
        <w:t>牛腿间距。</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w:t>
      </w:r>
      <w:r>
        <w:rPr>
          <w:rFonts w:hint="eastAsia" w:ascii="仿宋" w:hAnsi="仿宋" w:eastAsia="仿宋" w:cs="仿宋"/>
          <w:color w:val="auto"/>
          <w:sz w:val="28"/>
          <w:szCs w:val="28"/>
          <w:highlight w:val="none"/>
          <w:lang w:val="en-US" w:eastAsia="zh-CN"/>
        </w:rPr>
        <w:t>按</w:t>
      </w:r>
      <w:r>
        <w:rPr>
          <w:rFonts w:hint="eastAsia" w:ascii="仿宋" w:hAnsi="仿宋" w:eastAsia="仿宋" w:cs="仿宋"/>
          <w:color w:val="auto"/>
          <w:sz w:val="28"/>
          <w:szCs w:val="28"/>
          <w:highlight w:val="none"/>
        </w:rPr>
        <w:t>4米</w:t>
      </w:r>
      <w:r>
        <w:rPr>
          <w:rFonts w:hint="eastAsia" w:ascii="仿宋" w:hAnsi="仿宋" w:eastAsia="仿宋" w:cs="仿宋"/>
          <w:color w:val="auto"/>
          <w:sz w:val="28"/>
          <w:szCs w:val="28"/>
          <w:highlight w:val="none"/>
          <w:lang w:val="en-US" w:eastAsia="zh-CN"/>
        </w:rPr>
        <w:t>考虑</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具体应结合</w:t>
      </w:r>
      <w:r>
        <w:rPr>
          <w:rFonts w:hint="eastAsia" w:ascii="仿宋" w:hAnsi="仿宋" w:eastAsia="仿宋" w:cs="仿宋"/>
          <w:color w:val="auto"/>
          <w:sz w:val="28"/>
          <w:szCs w:val="28"/>
          <w:highlight w:val="none"/>
        </w:rPr>
        <w:t>现场情况确定，必须做在原混凝土立柱上。</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12#</w:t>
      </w:r>
      <w:r>
        <w:rPr>
          <w:rFonts w:hint="eastAsia" w:ascii="仿宋" w:hAnsi="仿宋" w:eastAsia="仿宋" w:cs="仿宋"/>
          <w:bCs/>
          <w:color w:val="auto"/>
          <w:sz w:val="28"/>
          <w:szCs w:val="28"/>
          <w:highlight w:val="none"/>
          <w:lang w:eastAsia="zh-CN"/>
        </w:rPr>
        <w:t>电动推拉棚</w:t>
      </w:r>
      <w:r>
        <w:rPr>
          <w:rFonts w:hint="eastAsia" w:ascii="仿宋" w:hAnsi="仿宋" w:eastAsia="仿宋" w:cs="仿宋"/>
          <w:bCs/>
          <w:color w:val="auto"/>
          <w:sz w:val="28"/>
          <w:szCs w:val="28"/>
          <w:highlight w:val="none"/>
        </w:rPr>
        <w:t>侧边基础</w:t>
      </w:r>
      <w:r>
        <w:rPr>
          <w:rFonts w:hint="eastAsia" w:ascii="仿宋" w:hAnsi="仿宋" w:eastAsia="仿宋" w:cs="仿宋"/>
          <w:bCs/>
          <w:color w:val="auto"/>
          <w:sz w:val="28"/>
          <w:szCs w:val="28"/>
          <w:highlight w:val="none"/>
          <w:lang w:val="en-US" w:eastAsia="zh-CN"/>
        </w:rPr>
        <w:t>设计说明中含混凝土短柱，短柱及基础中含钢筋，但大样图无短柱及钢筋，请明确。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回复：</w:t>
      </w:r>
      <w:r>
        <w:rPr>
          <w:rFonts w:hint="eastAsia" w:ascii="仿宋" w:hAnsi="仿宋" w:eastAsia="仿宋" w:cs="仿宋"/>
          <w:color w:val="auto"/>
          <w:sz w:val="28"/>
          <w:szCs w:val="28"/>
          <w:highlight w:val="none"/>
          <w:lang w:val="en-US" w:eastAsia="zh-CN"/>
        </w:rPr>
        <w:t>以大样图为准。</w:t>
      </w:r>
    </w:p>
    <w:p>
      <w:pPr>
        <w:pageBreakBefore w:val="0"/>
        <w:numPr>
          <w:ilvl w:val="0"/>
          <w:numId w:val="6"/>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请提供支座ZZ1具体平面位置</w:t>
      </w:r>
      <w:r>
        <w:rPr>
          <w:rFonts w:hint="eastAsia" w:ascii="仿宋" w:hAnsi="仿宋" w:eastAsia="仿宋" w:cs="仿宋"/>
          <w:bCs/>
          <w:color w:val="auto"/>
          <w:sz w:val="28"/>
          <w:szCs w:val="28"/>
          <w:highlight w:val="none"/>
          <w:lang w:val="en-US"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回复：无ZZ1支座，本项目采用成品球形支座，具体详见图纸。</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配货大棚工程</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配货大棚基础是否考虑换填。</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回复：基础尺寸详见“S-JG-02基础平面布置图”,开挖后视基槽验收具体情况具体分析，将垫层以下淤泥及杂填土等不满足要求的土体挖除，换填级配碎石。清单按基础数量的1/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进行换填考虑，深度2m，满足设计要求，</w:t>
      </w:r>
      <w:r>
        <w:rPr>
          <w:rFonts w:hint="eastAsia" w:ascii="仿宋" w:hAnsi="仿宋" w:eastAsia="仿宋" w:cs="仿宋"/>
          <w:color w:val="auto"/>
          <w:sz w:val="28"/>
          <w:szCs w:val="28"/>
          <w:highlight w:val="none"/>
          <w:lang w:val="en-US" w:eastAsia="zh-CN"/>
        </w:rPr>
        <w:t>按基础垫层投影面积垂直开挖</w:t>
      </w:r>
      <w:r>
        <w:rPr>
          <w:rFonts w:hint="eastAsia" w:ascii="仿宋" w:hAnsi="仿宋" w:eastAsia="仿宋" w:cs="仿宋"/>
          <w:color w:val="auto"/>
          <w:sz w:val="28"/>
          <w:szCs w:val="28"/>
          <w:highlight w:val="none"/>
        </w:rPr>
        <w:t>。</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部分配货大棚无柱脚螺栓大样图，请明确。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回复：详见“S-JG-03 基础短柱平面布置图”。</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配货大棚是否考虑外露式柱脚</w:t>
      </w:r>
      <w:r>
        <w:rPr>
          <w:rFonts w:hint="eastAsia" w:ascii="仿宋" w:hAnsi="仿宋" w:eastAsia="仿宋" w:cs="仿宋"/>
          <w:bCs/>
          <w:color w:val="auto"/>
          <w:sz w:val="28"/>
          <w:szCs w:val="28"/>
          <w:highlight w:val="none"/>
          <w:lang w:val="en-US" w:eastAsia="zh-CN"/>
        </w:rPr>
        <w:t>包裹</w:t>
      </w:r>
      <w:r>
        <w:rPr>
          <w:rFonts w:hint="eastAsia" w:ascii="仿宋" w:hAnsi="仿宋" w:eastAsia="仿宋" w:cs="仿宋"/>
          <w:bCs/>
          <w:color w:val="auto"/>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回复：外露式柱脚浇筑地坪时</w:t>
      </w:r>
      <w:r>
        <w:rPr>
          <w:rFonts w:hint="eastAsia" w:ascii="仿宋" w:hAnsi="仿宋" w:eastAsia="仿宋" w:cs="仿宋"/>
          <w:sz w:val="28"/>
          <w:szCs w:val="28"/>
          <w:highlight w:val="none"/>
          <w:lang w:val="en-US" w:eastAsia="zh-CN"/>
        </w:rPr>
        <w:t>采用</w:t>
      </w:r>
      <w:r>
        <w:rPr>
          <w:rFonts w:hint="eastAsia" w:ascii="仿宋" w:hAnsi="仿宋" w:eastAsia="仿宋" w:cs="仿宋"/>
          <w:sz w:val="28"/>
          <w:szCs w:val="28"/>
          <w:highlight w:val="none"/>
        </w:rPr>
        <w:t>C20素混凝土包裹柱脚</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高度30cm锥形坡，保证柱脚不积水</w:t>
      </w:r>
      <w:r>
        <w:rPr>
          <w:rFonts w:hint="eastAsia" w:ascii="仿宋" w:hAnsi="仿宋" w:eastAsia="仿宋" w:cs="仿宋"/>
          <w:color w:val="000000" w:themeColor="text1"/>
          <w:sz w:val="28"/>
          <w:szCs w:val="28"/>
          <w:highlight w:val="none"/>
          <w14:textFill>
            <w14:solidFill>
              <w14:schemeClr w14:val="tx1"/>
            </w14:solidFill>
          </w14:textFill>
        </w:rPr>
        <w:t>。</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配货大棚基础4-19轴图纸未明确具体做法</w:t>
      </w:r>
      <w:r>
        <w:rPr>
          <w:rFonts w:hint="eastAsia" w:ascii="仿宋" w:hAnsi="仿宋" w:eastAsia="仿宋" w:cs="仿宋"/>
          <w:bCs/>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drawing>
          <wp:anchor distT="0" distB="0" distL="114300" distR="114300" simplePos="0" relativeHeight="251661312" behindDoc="0" locked="0" layoutInCell="1" allowOverlap="1">
            <wp:simplePos x="0" y="0"/>
            <wp:positionH relativeFrom="column">
              <wp:posOffset>1260475</wp:posOffset>
            </wp:positionH>
            <wp:positionV relativeFrom="paragraph">
              <wp:posOffset>107315</wp:posOffset>
            </wp:positionV>
            <wp:extent cx="3152140" cy="1739900"/>
            <wp:effectExtent l="0" t="0" r="10160" b="1270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cstate="print"/>
                    <a:stretch>
                      <a:fillRect/>
                    </a:stretch>
                  </pic:blipFill>
                  <pic:spPr>
                    <a:xfrm>
                      <a:off x="0" y="0"/>
                      <a:ext cx="3152140" cy="1739900"/>
                    </a:xfrm>
                    <a:prstGeom prst="rect">
                      <a:avLst/>
                    </a:prstGeom>
                    <a:noFill/>
                    <a:ln>
                      <a:noFill/>
                    </a:ln>
                  </pic:spPr>
                </pic:pic>
              </a:graphicData>
            </a:graphic>
          </wp:anchor>
        </w:drawing>
      </w:r>
      <w:r>
        <w:rPr>
          <w:rFonts w:hint="eastAsia" w:ascii="仿宋" w:hAnsi="仿宋" w:eastAsia="仿宋" w:cs="仿宋"/>
          <w:sz w:val="28"/>
          <w:szCs w:val="28"/>
          <w:highlight w:val="none"/>
        </w:rPr>
        <w:t>回复：配货大棚基础做法均参照3轴基础。</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请明确配货大棚</w:t>
      </w:r>
      <w:r>
        <w:rPr>
          <w:rFonts w:hint="eastAsia" w:ascii="仿宋" w:hAnsi="仿宋" w:eastAsia="仿宋" w:cs="仿宋"/>
          <w:bCs/>
          <w:color w:val="000000" w:themeColor="text1"/>
          <w:sz w:val="28"/>
          <w:szCs w:val="28"/>
          <w:highlight w:val="none"/>
          <w:lang w:eastAsia="zh-CN"/>
          <w14:textFill>
            <w14:solidFill>
              <w14:schemeClr w14:val="tx1"/>
            </w14:solidFill>
          </w14:textFill>
        </w:rPr>
        <w:t>电动推拉棚</w:t>
      </w:r>
      <w:r>
        <w:rPr>
          <w:rFonts w:hint="eastAsia" w:ascii="仿宋" w:hAnsi="仿宋" w:eastAsia="仿宋" w:cs="仿宋"/>
          <w:bCs/>
          <w:color w:val="000000" w:themeColor="text1"/>
          <w:sz w:val="28"/>
          <w:szCs w:val="28"/>
          <w:highlight w:val="none"/>
          <w14:textFill>
            <w14:solidFill>
              <w14:schemeClr w14:val="tx1"/>
            </w14:solidFill>
          </w14:textFill>
        </w:rPr>
        <w:t>屋面</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的</w:t>
      </w:r>
      <w:r>
        <w:rPr>
          <w:rFonts w:hint="eastAsia" w:ascii="仿宋" w:hAnsi="仿宋" w:eastAsia="仿宋" w:cs="仿宋"/>
          <w:bCs/>
          <w:color w:val="000000" w:themeColor="text1"/>
          <w:sz w:val="28"/>
          <w:szCs w:val="28"/>
          <w:highlight w:val="none"/>
          <w14:textFill>
            <w14:solidFill>
              <w14:schemeClr w14:val="tx1"/>
            </w14:solidFill>
          </w14:textFill>
        </w:rPr>
        <w:t>材质。</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回复：膜材选用PVC（含各种配件、连接件等）。</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color w:val="000000" w:themeColor="text1"/>
          <w:sz w:val="28"/>
          <w:szCs w:val="28"/>
          <w:highlight w:val="none"/>
          <w14:textFill>
            <w14:solidFill>
              <w14:schemeClr w14:val="tx1"/>
            </w14:solidFill>
          </w14:textFill>
        </w:rPr>
        <w:t>请明确</w:t>
      </w:r>
      <w:r>
        <w:rPr>
          <w:rFonts w:hint="eastAsia" w:ascii="仿宋" w:hAnsi="仿宋" w:eastAsia="仿宋" w:cs="仿宋"/>
          <w:bCs/>
          <w:sz w:val="28"/>
          <w:szCs w:val="28"/>
          <w:highlight w:val="none"/>
        </w:rPr>
        <w:t>配货大棚DN110 UPVC雨水管高度</w:t>
      </w:r>
      <w:r>
        <w:rPr>
          <w:rFonts w:hint="eastAsia" w:ascii="仿宋" w:hAnsi="仿宋" w:eastAsia="仿宋" w:cs="仿宋"/>
          <w:bCs/>
          <w:sz w:val="28"/>
          <w:szCs w:val="28"/>
          <w:highlight w:val="none"/>
          <w:lang w:eastAsia="zh-CN"/>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回复：按5.4</w:t>
      </w:r>
      <w:r>
        <w:rPr>
          <w:rFonts w:hint="eastAsia" w:ascii="仿宋" w:hAnsi="仿宋" w:eastAsia="仿宋" w:cs="仿宋"/>
          <w:sz w:val="28"/>
          <w:szCs w:val="28"/>
          <w:highlight w:val="none"/>
          <w:lang w:val="en-US" w:eastAsia="zh-CN"/>
        </w:rPr>
        <w:t>m</w:t>
      </w:r>
      <w:r>
        <w:rPr>
          <w:rFonts w:hint="eastAsia" w:ascii="仿宋" w:hAnsi="仿宋" w:eastAsia="仿宋" w:cs="仿宋"/>
          <w:sz w:val="28"/>
          <w:szCs w:val="28"/>
          <w:highlight w:val="none"/>
        </w:rPr>
        <w:t>考虑。</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配货大棚图纸</w:t>
      </w:r>
      <w:r>
        <w:rPr>
          <w:rFonts w:hint="eastAsia" w:ascii="仿宋" w:hAnsi="仿宋" w:eastAsia="仿宋" w:cs="仿宋"/>
          <w:bCs/>
          <w:sz w:val="28"/>
          <w:szCs w:val="28"/>
          <w:highlight w:val="none"/>
          <w:lang w:val="en-US" w:eastAsia="zh-CN"/>
        </w:rPr>
        <w:t>无</w:t>
      </w:r>
      <w:r>
        <w:rPr>
          <w:rFonts w:hint="eastAsia" w:ascii="仿宋" w:hAnsi="仿宋" w:eastAsia="仿宋" w:cs="仿宋"/>
          <w:bCs/>
          <w:sz w:val="28"/>
          <w:szCs w:val="28"/>
          <w:highlight w:val="none"/>
        </w:rPr>
        <w:t>地面做法，</w:t>
      </w:r>
      <w:r>
        <w:rPr>
          <w:rFonts w:hint="eastAsia" w:ascii="仿宋" w:hAnsi="仿宋" w:eastAsia="仿宋" w:cs="仿宋"/>
          <w:bCs/>
          <w:sz w:val="28"/>
          <w:szCs w:val="28"/>
          <w:highlight w:val="none"/>
          <w:lang w:val="en-US" w:eastAsia="zh-CN"/>
        </w:rPr>
        <w:t>请明确。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回复：现有混凝土地面。</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屋面Φ180</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6.0，Y2</w:t>
      </w:r>
      <w:r>
        <w:rPr>
          <w:rFonts w:hint="eastAsia" w:ascii="仿宋" w:hAnsi="仿宋" w:eastAsia="仿宋" w:cs="仿宋"/>
          <w:bCs/>
          <w:sz w:val="28"/>
          <w:szCs w:val="28"/>
          <w:highlight w:val="none"/>
          <w:lang w:val="en-US" w:eastAsia="zh-CN"/>
        </w:rPr>
        <w:t>的</w:t>
      </w:r>
      <w:r>
        <w:rPr>
          <w:rFonts w:hint="eastAsia" w:ascii="仿宋" w:hAnsi="仿宋" w:eastAsia="仿宋" w:cs="仿宋"/>
          <w:bCs/>
          <w:sz w:val="28"/>
          <w:szCs w:val="28"/>
          <w:highlight w:val="none"/>
        </w:rPr>
        <w:t>材质。</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回复：Q355B级钢。</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配货大棚四周是否设置彩钢板及檩条。</w:t>
      </w:r>
    </w:p>
    <w:p>
      <w:pPr>
        <w:pStyle w:val="7"/>
        <w:keepNext w:val="0"/>
        <w:keepLines w:val="0"/>
        <w:pageBreakBefore w:val="0"/>
        <w:widowControl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回复：山墙两侧及背侧设置彩钢板墙面，采用30mm×5mm镀锌扁钢上下两道横向通长将彩钢板支撑、绷紧、固定，彩钢板材料选用0.8mm厚彩钢板。</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原有路面破除及恢复做法。</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回复：仅对配货大棚基础部位进行破除恢复，棚内未涉及破除路面。破除恢复做法</w:t>
      </w:r>
      <w:r>
        <w:rPr>
          <w:rFonts w:hint="eastAsia" w:ascii="仿宋" w:hAnsi="仿宋" w:eastAsia="仿宋" w:cs="仿宋"/>
          <w:color w:val="000000" w:themeColor="text1"/>
          <w:sz w:val="28"/>
          <w:szCs w:val="28"/>
          <w:highlight w:val="none"/>
          <w:lang w:val="en-US" w:eastAsia="zh-CN"/>
          <w14:textFill>
            <w14:solidFill>
              <w14:schemeClr w14:val="tx1"/>
            </w14:solidFill>
          </w14:textFill>
        </w:rPr>
        <w:t>均</w:t>
      </w:r>
      <w:r>
        <w:rPr>
          <w:rFonts w:hint="eastAsia" w:ascii="仿宋" w:hAnsi="仿宋" w:eastAsia="仿宋" w:cs="仿宋"/>
          <w:color w:val="000000" w:themeColor="text1"/>
          <w:sz w:val="28"/>
          <w:szCs w:val="28"/>
          <w:highlight w:val="none"/>
          <w14:textFill>
            <w14:solidFill>
              <w14:schemeClr w14:val="tx1"/>
            </w14:solidFill>
          </w14:textFill>
        </w:rPr>
        <w:t>按24cm</w:t>
      </w:r>
      <w:r>
        <w:rPr>
          <w:rFonts w:hint="eastAsia" w:ascii="仿宋" w:hAnsi="仿宋" w:eastAsia="仿宋" w:cs="仿宋"/>
          <w:color w:val="000000" w:themeColor="text1"/>
          <w:sz w:val="28"/>
          <w:szCs w:val="28"/>
          <w:highlight w:val="none"/>
          <w:lang w:val="en-US" w:eastAsia="zh-CN"/>
          <w14:textFill>
            <w14:solidFill>
              <w14:schemeClr w14:val="tx1"/>
            </w14:solidFill>
          </w14:textFill>
        </w:rPr>
        <w:t>厚</w:t>
      </w:r>
      <w:r>
        <w:rPr>
          <w:rFonts w:hint="eastAsia" w:ascii="仿宋" w:hAnsi="仿宋" w:eastAsia="仿宋" w:cs="仿宋"/>
          <w:color w:val="000000" w:themeColor="text1"/>
          <w:sz w:val="28"/>
          <w:szCs w:val="28"/>
          <w:highlight w:val="none"/>
          <w14:textFill>
            <w14:solidFill>
              <w14:schemeClr w14:val="tx1"/>
            </w14:solidFill>
          </w14:textFill>
        </w:rPr>
        <w:t>C35+20cm</w:t>
      </w:r>
      <w:r>
        <w:rPr>
          <w:rFonts w:hint="eastAsia" w:ascii="仿宋" w:hAnsi="仿宋" w:eastAsia="仿宋" w:cs="仿宋"/>
          <w:color w:val="000000" w:themeColor="text1"/>
          <w:sz w:val="28"/>
          <w:szCs w:val="28"/>
          <w:highlight w:val="none"/>
          <w:lang w:val="en-US" w:eastAsia="zh-CN"/>
          <w14:textFill>
            <w14:solidFill>
              <w14:schemeClr w14:val="tx1"/>
            </w14:solidFill>
          </w14:textFill>
        </w:rPr>
        <w:t>厚</w:t>
      </w:r>
      <w:r>
        <w:rPr>
          <w:rFonts w:hint="eastAsia" w:ascii="仿宋" w:hAnsi="仿宋" w:eastAsia="仿宋" w:cs="仿宋"/>
          <w:color w:val="000000" w:themeColor="text1"/>
          <w:sz w:val="28"/>
          <w:szCs w:val="28"/>
          <w:highlight w:val="none"/>
          <w14:textFill>
            <w14:solidFill>
              <w14:schemeClr w14:val="tx1"/>
            </w14:solidFill>
          </w14:textFill>
        </w:rPr>
        <w:t>级配碎石</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级配碎石以下采用素土回填夯实，</w:t>
      </w:r>
      <w:r>
        <w:rPr>
          <w:rFonts w:hint="eastAsia" w:ascii="仿宋" w:hAnsi="仿宋" w:eastAsia="仿宋" w:cs="仿宋"/>
          <w:color w:val="000000" w:themeColor="text1"/>
          <w:sz w:val="28"/>
          <w:szCs w:val="28"/>
          <w:highlight w:val="none"/>
          <w:lang w:val="en-US" w:eastAsia="zh-CN"/>
          <w14:textFill>
            <w14:solidFill>
              <w14:schemeClr w14:val="tx1"/>
            </w14:solidFill>
          </w14:textFill>
        </w:rPr>
        <w:t>具体详见</w:t>
      </w:r>
      <w:r>
        <w:rPr>
          <w:rFonts w:hint="eastAsia" w:ascii="仿宋" w:hAnsi="仿宋" w:eastAsia="仿宋" w:cs="仿宋"/>
          <w:color w:val="000000" w:themeColor="text1"/>
          <w:sz w:val="28"/>
          <w:szCs w:val="28"/>
          <w:highlight w:val="none"/>
          <w14:textFill>
            <w14:solidFill>
              <w14:schemeClr w14:val="tx1"/>
            </w14:solidFill>
          </w14:textFill>
        </w:rPr>
        <w:t>大样图。</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水产区配货大棚立面图尺寸与平面图不一致</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w:t>
      </w:r>
      <w:r>
        <w:rPr>
          <w:rFonts w:hint="eastAsia" w:ascii="仿宋" w:hAnsi="仿宋" w:eastAsia="仿宋" w:cs="仿宋"/>
          <w:sz w:val="28"/>
          <w:szCs w:val="28"/>
          <w:highlight w:val="none"/>
          <w:lang w:val="en-US" w:eastAsia="zh-CN"/>
        </w:rPr>
        <w:t>以</w:t>
      </w:r>
      <w:r>
        <w:rPr>
          <w:rFonts w:hint="eastAsia" w:ascii="仿宋" w:hAnsi="仿宋" w:eastAsia="仿宋" w:cs="仿宋"/>
          <w:sz w:val="28"/>
          <w:szCs w:val="28"/>
          <w:highlight w:val="none"/>
        </w:rPr>
        <w:t>立面</w:t>
      </w:r>
      <w:r>
        <w:rPr>
          <w:rFonts w:hint="eastAsia" w:ascii="仿宋" w:hAnsi="仿宋" w:eastAsia="仿宋" w:cs="仿宋"/>
          <w:sz w:val="28"/>
          <w:szCs w:val="28"/>
          <w:highlight w:val="none"/>
          <w:lang w:val="en-US" w:eastAsia="zh-CN"/>
        </w:rPr>
        <w:t>图</w:t>
      </w:r>
      <w:r>
        <w:rPr>
          <w:rFonts w:hint="eastAsia" w:ascii="仿宋" w:hAnsi="仿宋" w:eastAsia="仿宋" w:cs="仿宋"/>
          <w:sz w:val="28"/>
          <w:szCs w:val="28"/>
          <w:highlight w:val="none"/>
        </w:rPr>
        <w:t>尺寸</w:t>
      </w:r>
      <w:r>
        <w:rPr>
          <w:rFonts w:hint="eastAsia" w:ascii="仿宋" w:hAnsi="仿宋" w:eastAsia="仿宋" w:cs="仿宋"/>
          <w:sz w:val="28"/>
          <w:szCs w:val="28"/>
          <w:highlight w:val="none"/>
          <w:lang w:val="en-US" w:eastAsia="zh-CN"/>
        </w:rPr>
        <w:t>为准</w:t>
      </w:r>
      <w:r>
        <w:rPr>
          <w:rFonts w:hint="eastAsia" w:ascii="仿宋" w:hAnsi="仿宋" w:eastAsia="仿宋" w:cs="仿宋"/>
          <w:sz w:val="28"/>
          <w:szCs w:val="28"/>
          <w:highlight w:val="none"/>
        </w:rPr>
        <w:t>。</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雨棚柱脚C30微膨胀砼二次浇灌层与配货大棚柱脚C40微膨胀混凝土不一致</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请明确。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bCs/>
          <w:color w:val="FF0000"/>
          <w:sz w:val="28"/>
          <w:szCs w:val="28"/>
          <w:highlight w:val="none"/>
        </w:rPr>
      </w:pPr>
      <w:r>
        <w:rPr>
          <w:rFonts w:hint="eastAsia" w:ascii="仿宋" w:hAnsi="仿宋" w:eastAsia="仿宋" w:cs="仿宋"/>
          <w:sz w:val="28"/>
          <w:szCs w:val="28"/>
          <w:highlight w:val="none"/>
        </w:rPr>
        <w:t>回复：统一为C40微膨胀混凝土</w:t>
      </w:r>
      <w:r>
        <w:rPr>
          <w:rFonts w:hint="eastAsia" w:ascii="仿宋" w:hAnsi="仿宋" w:eastAsia="仿宋" w:cs="仿宋"/>
          <w:sz w:val="28"/>
          <w:szCs w:val="28"/>
          <w:highlight w:val="none"/>
          <w:lang w:eastAsia="zh-CN"/>
        </w:rPr>
        <w:t>。</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雨棚屋面隅撑</w:t>
      </w:r>
      <w:r>
        <w:rPr>
          <w:rFonts w:hint="eastAsia" w:ascii="仿宋" w:hAnsi="仿宋" w:eastAsia="仿宋" w:cs="仿宋"/>
          <w:bCs/>
          <w:sz w:val="28"/>
          <w:szCs w:val="28"/>
          <w:highlight w:val="none"/>
          <w:lang w:val="en-US" w:eastAsia="zh-CN"/>
        </w:rPr>
        <w:t>的</w:t>
      </w:r>
      <w:r>
        <w:rPr>
          <w:rFonts w:hint="eastAsia" w:ascii="仿宋" w:hAnsi="仿宋" w:eastAsia="仿宋" w:cs="仿宋"/>
          <w:bCs/>
          <w:sz w:val="28"/>
          <w:szCs w:val="28"/>
          <w:highlight w:val="none"/>
        </w:rPr>
        <w:t>具体位置。</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回复：详</w:t>
      </w:r>
      <w:r>
        <w:rPr>
          <w:rFonts w:hint="eastAsia" w:ascii="仿宋" w:hAnsi="仿宋" w:eastAsia="仿宋" w:cs="仿宋"/>
          <w:sz w:val="28"/>
          <w:szCs w:val="28"/>
          <w:highlight w:val="none"/>
          <w:lang w:val="en-US" w:eastAsia="zh-CN"/>
        </w:rPr>
        <w:t>见</w:t>
      </w:r>
      <w:r>
        <w:rPr>
          <w:rFonts w:hint="eastAsia" w:ascii="仿宋" w:hAnsi="仿宋" w:eastAsia="仿宋" w:cs="仿宋"/>
          <w:sz w:val="28"/>
          <w:szCs w:val="28"/>
          <w:highlight w:val="none"/>
        </w:rPr>
        <w:t>雨棚檩条基础</w:t>
      </w:r>
      <w:r>
        <w:rPr>
          <w:rFonts w:hint="eastAsia" w:ascii="仿宋" w:hAnsi="仿宋" w:eastAsia="仿宋" w:cs="仿宋"/>
          <w:sz w:val="28"/>
          <w:szCs w:val="28"/>
          <w:highlight w:val="none"/>
          <w:lang w:val="en-US" w:eastAsia="zh-CN"/>
        </w:rPr>
        <w:t>平面布置</w:t>
      </w:r>
      <w:r>
        <w:rPr>
          <w:rFonts w:hint="eastAsia" w:ascii="仿宋" w:hAnsi="仿宋" w:eastAsia="仿宋" w:cs="仿宋"/>
          <w:sz w:val="28"/>
          <w:szCs w:val="28"/>
          <w:highlight w:val="none"/>
        </w:rPr>
        <w:t>图，在钢架处设置隅撑，外侧钢架单边设置，内侧钢架双侧设置。</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雨棚钢架图纸仅有GJ-1，其他钢架位置如何考虑。</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回复；均参考GJ-1。</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雨棚屋脊盖板</w:t>
      </w:r>
      <w:r>
        <w:rPr>
          <w:rFonts w:hint="eastAsia" w:ascii="仿宋" w:hAnsi="仿宋" w:eastAsia="仿宋" w:cs="仿宋"/>
          <w:bCs/>
          <w:sz w:val="28"/>
          <w:szCs w:val="28"/>
          <w:highlight w:val="none"/>
          <w:lang w:val="en-US" w:eastAsia="zh-CN"/>
        </w:rPr>
        <w:t>的</w:t>
      </w:r>
      <w:r>
        <w:rPr>
          <w:rFonts w:hint="eastAsia" w:ascii="仿宋" w:hAnsi="仿宋" w:eastAsia="仿宋" w:cs="仿宋"/>
          <w:bCs/>
          <w:sz w:val="28"/>
          <w:szCs w:val="28"/>
          <w:highlight w:val="none"/>
        </w:rPr>
        <w:t>材质。</w:t>
      </w:r>
    </w:p>
    <w:p>
      <w:pPr>
        <w:pageBreakBefore w:val="0"/>
        <w:shd w:val="clear" w:color="auto" w:fill="FFFFFF"/>
        <w:kinsoku/>
        <w:wordWrap/>
        <w:overflowPunct/>
        <w:topLinePunct w:val="0"/>
        <w:autoSpaceDE/>
        <w:autoSpaceDN/>
        <w:bidi w:val="0"/>
        <w:adjustRightInd w:val="0"/>
        <w:snapToGrid w:val="0"/>
        <w:spacing w:line="560" w:lineRule="exact"/>
        <w:ind w:left="420" w:leftChars="200" w:firstLine="0" w:firstLineChars="0"/>
        <w:textAlignment w:val="auto"/>
        <w:rPr>
          <w:rFonts w:hint="eastAsia" w:ascii="仿宋" w:hAnsi="仿宋" w:eastAsia="仿宋" w:cs="仿宋"/>
          <w:bCs/>
          <w:sz w:val="28"/>
          <w:szCs w:val="28"/>
          <w:highlight w:val="none"/>
        </w:rPr>
      </w:pPr>
      <w:r>
        <w:rPr>
          <w:rFonts w:hint="eastAsia" w:ascii="仿宋" w:hAnsi="仿宋" w:eastAsia="仿宋" w:cs="仿宋"/>
          <w:bCs/>
          <w:sz w:val="28"/>
          <w:szCs w:val="28"/>
        </w:rPr>
        <w:drawing>
          <wp:anchor distT="0" distB="0" distL="114300" distR="114300" simplePos="0" relativeHeight="251664384" behindDoc="1" locked="0" layoutInCell="1" allowOverlap="1">
            <wp:simplePos x="0" y="0"/>
            <wp:positionH relativeFrom="column">
              <wp:posOffset>1680845</wp:posOffset>
            </wp:positionH>
            <wp:positionV relativeFrom="paragraph">
              <wp:posOffset>128270</wp:posOffset>
            </wp:positionV>
            <wp:extent cx="1771650" cy="1042670"/>
            <wp:effectExtent l="0" t="0" r="0" b="5080"/>
            <wp:wrapThrough wrapText="bothSides">
              <wp:wrapPolygon>
                <wp:start x="0" y="0"/>
                <wp:lineTo x="0" y="21311"/>
                <wp:lineTo x="21368" y="21311"/>
                <wp:lineTo x="21368" y="0"/>
                <wp:lineTo x="0" y="0"/>
              </wp:wrapPolygon>
            </wp:wrapThrough>
            <wp:docPr id="19" name="图片 6" descr="609a4ee78deffed5331fd520dd7a0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609a4ee78deffed5331fd520dd7a0ae"/>
                    <pic:cNvPicPr>
                      <a:picLocks noChangeAspect="1"/>
                    </pic:cNvPicPr>
                  </pic:nvPicPr>
                  <pic:blipFill>
                    <a:blip r:embed="rId18"/>
                    <a:stretch>
                      <a:fillRect/>
                    </a:stretch>
                  </pic:blipFill>
                  <pic:spPr>
                    <a:xfrm>
                      <a:off x="0" y="0"/>
                      <a:ext cx="1771650" cy="1042670"/>
                    </a:xfrm>
                    <a:prstGeom prst="rect">
                      <a:avLst/>
                    </a:prstGeom>
                    <a:noFill/>
                    <a:ln>
                      <a:noFill/>
                    </a:ln>
                  </pic:spPr>
                </pic:pic>
              </a:graphicData>
            </a:graphic>
          </wp:anchor>
        </w:drawing>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回复：同屋面压型彩钢板。</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雨棚屋面压型彩钢板</w:t>
      </w:r>
      <w:r>
        <w:rPr>
          <w:rFonts w:hint="eastAsia" w:ascii="仿宋" w:hAnsi="仿宋" w:eastAsia="仿宋" w:cs="仿宋"/>
          <w:bCs/>
          <w:sz w:val="28"/>
          <w:szCs w:val="28"/>
          <w:highlight w:val="none"/>
          <w:lang w:val="en-US" w:eastAsia="zh-CN"/>
        </w:rPr>
        <w:t>的</w:t>
      </w:r>
      <w:r>
        <w:rPr>
          <w:rFonts w:hint="eastAsia" w:ascii="仿宋" w:hAnsi="仿宋" w:eastAsia="仿宋" w:cs="仿宋"/>
          <w:bCs/>
          <w:sz w:val="28"/>
          <w:szCs w:val="28"/>
          <w:highlight w:val="none"/>
        </w:rPr>
        <w:t>厚度。</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回复：0.8mm厚单层彩钢板。</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DN300雨水连接管管道包封深度是否包含路面结构层。</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回复：包含在路面结构层，最低管道包封深度距地面不应低于300mm（埋深至垫层底按照1.3m深考虑）。</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雨水管道回填至管顶10cm</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与道路破除恢复结构层重叠</w:t>
      </w:r>
      <w:r>
        <w:rPr>
          <w:rFonts w:hint="eastAsia" w:ascii="仿宋" w:hAnsi="仿宋" w:eastAsia="仿宋" w:cs="仿宋"/>
          <w:bCs/>
          <w:sz w:val="28"/>
          <w:szCs w:val="28"/>
          <w:highlight w:val="none"/>
          <w:lang w:val="en-US" w:eastAsia="zh-CN"/>
        </w:rPr>
        <w:t>部分</w:t>
      </w:r>
      <w:r>
        <w:rPr>
          <w:rFonts w:hint="eastAsia" w:ascii="仿宋" w:hAnsi="仿宋" w:eastAsia="仿宋" w:cs="仿宋"/>
          <w:bCs/>
          <w:sz w:val="28"/>
          <w:szCs w:val="28"/>
          <w:highlight w:val="none"/>
        </w:rPr>
        <w:t>如何考虑。</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回复：重叠部分以道路破除恢复结构层为主。</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lang w:val="en-US" w:eastAsia="zh-CN"/>
          <w14:textFill>
            <w14:solidFill>
              <w14:schemeClr w14:val="tx1"/>
            </w14:solidFill>
          </w14:textFill>
        </w:rPr>
        <w:t>请明确</w:t>
      </w:r>
      <w:r>
        <w:rPr>
          <w:rFonts w:hint="eastAsia" w:ascii="仿宋" w:hAnsi="仿宋" w:eastAsia="仿宋" w:cs="仿宋"/>
          <w:bCs/>
          <w:color w:val="000000" w:themeColor="text1"/>
          <w:sz w:val="28"/>
          <w:szCs w:val="28"/>
          <w:highlight w:val="none"/>
          <w14:textFill>
            <w14:solidFill>
              <w14:schemeClr w14:val="tx1"/>
            </w14:solidFill>
          </w14:textFill>
        </w:rPr>
        <w:t>配货大棚挡水坡混凝土厚度。</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回复：仅考虑破除20cm</w:t>
      </w:r>
      <w:r>
        <w:rPr>
          <w:rFonts w:hint="eastAsia" w:ascii="仿宋" w:hAnsi="仿宋" w:eastAsia="仿宋" w:cs="仿宋"/>
          <w:color w:val="000000" w:themeColor="text1"/>
          <w:sz w:val="28"/>
          <w:szCs w:val="28"/>
          <w:highlight w:val="none"/>
          <w:lang w:val="en-US" w:eastAsia="zh-CN"/>
          <w14:textFill>
            <w14:solidFill>
              <w14:schemeClr w14:val="tx1"/>
            </w14:solidFill>
          </w14:textFill>
        </w:rPr>
        <w:t>厚</w:t>
      </w:r>
      <w:r>
        <w:rPr>
          <w:rFonts w:hint="eastAsia" w:ascii="仿宋" w:hAnsi="仿宋" w:eastAsia="仿宋" w:cs="仿宋"/>
          <w:color w:val="000000" w:themeColor="text1"/>
          <w:sz w:val="28"/>
          <w:szCs w:val="28"/>
          <w:highlight w:val="none"/>
          <w14:textFill>
            <w14:solidFill>
              <w14:schemeClr w14:val="tx1"/>
            </w14:solidFill>
          </w14:textFill>
        </w:rPr>
        <w:t>混凝土。</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请明确配货大棚管线工程</w:t>
      </w:r>
      <w:r>
        <w:rPr>
          <w:rFonts w:hint="eastAsia" w:ascii="仿宋" w:hAnsi="仿宋" w:eastAsia="仿宋" w:cs="仿宋"/>
          <w:bCs/>
          <w:sz w:val="28"/>
          <w:szCs w:val="28"/>
          <w:highlight w:val="none"/>
          <w:lang w:val="en-US" w:eastAsia="zh-CN"/>
        </w:rPr>
        <w:t>中</w:t>
      </w:r>
      <w:r>
        <w:rPr>
          <w:rFonts w:hint="eastAsia" w:ascii="仿宋" w:hAnsi="仿宋" w:eastAsia="仿宋" w:cs="仿宋"/>
          <w:bCs/>
          <w:sz w:val="28"/>
          <w:szCs w:val="28"/>
          <w:highlight w:val="none"/>
        </w:rPr>
        <w:t>需要加固的雨、污水检查井、雨水口</w:t>
      </w:r>
      <w:r>
        <w:rPr>
          <w:rFonts w:hint="eastAsia" w:ascii="仿宋" w:hAnsi="仿宋" w:eastAsia="仿宋" w:cs="仿宋"/>
          <w:bCs/>
          <w:sz w:val="28"/>
          <w:szCs w:val="28"/>
          <w:highlight w:val="none"/>
          <w:lang w:val="en-US" w:eastAsia="zh-CN"/>
        </w:rPr>
        <w:t>数量</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回复：棚内检查井不加固，行车道下的检查井及雨水口</w:t>
      </w:r>
      <w:r>
        <w:rPr>
          <w:rFonts w:hint="eastAsia" w:ascii="仿宋" w:hAnsi="仿宋" w:eastAsia="仿宋" w:cs="仿宋"/>
          <w:color w:val="000000" w:themeColor="text1"/>
          <w:sz w:val="28"/>
          <w:szCs w:val="28"/>
          <w:highlight w:val="none"/>
          <w:lang w:val="en-US" w:eastAsia="zh-CN"/>
          <w14:textFill>
            <w14:solidFill>
              <w14:schemeClr w14:val="tx1"/>
            </w14:solidFill>
          </w14:textFill>
        </w:rPr>
        <w:t>需</w:t>
      </w:r>
      <w:r>
        <w:rPr>
          <w:rFonts w:hint="eastAsia" w:ascii="仿宋" w:hAnsi="仿宋" w:eastAsia="仿宋" w:cs="仿宋"/>
          <w:color w:val="000000" w:themeColor="text1"/>
          <w:sz w:val="28"/>
          <w:szCs w:val="28"/>
          <w:highlight w:val="none"/>
          <w14:textFill>
            <w14:solidFill>
              <w14:schemeClr w14:val="tx1"/>
            </w14:solidFill>
          </w14:textFill>
        </w:rPr>
        <w:t>加固处理，做法见“S-GX-07 检查井加固详图”，C35钢筋混凝土井圈厚度300mm。</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配货大棚污水管道无基础埋置深度，</w:t>
      </w: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回复：污水管道起始点最低管道包封深度距地面不应低于300mm，按平面图示意3‰坡度接入园区现状污水井，如开挖过程中遇到现状其他管线</w:t>
      </w:r>
      <w:r>
        <w:rPr>
          <w:rFonts w:hint="eastAsia" w:ascii="仿宋" w:hAnsi="仿宋" w:eastAsia="仿宋" w:cs="仿宋"/>
          <w:color w:val="000000" w:themeColor="text1"/>
          <w:sz w:val="28"/>
          <w:szCs w:val="28"/>
          <w:highlight w:val="none"/>
          <w:lang w:val="en-US" w:eastAsia="zh-CN"/>
          <w14:textFill>
            <w14:solidFill>
              <w14:schemeClr w14:val="tx1"/>
            </w14:solidFill>
          </w14:textFill>
        </w:rPr>
        <w:t>时</w:t>
      </w:r>
      <w:r>
        <w:rPr>
          <w:rFonts w:hint="eastAsia" w:ascii="仿宋" w:hAnsi="仿宋" w:eastAsia="仿宋" w:cs="仿宋"/>
          <w:color w:val="000000" w:themeColor="text1"/>
          <w:sz w:val="28"/>
          <w:szCs w:val="28"/>
          <w:highlight w:val="none"/>
          <w14:textFill>
            <w14:solidFill>
              <w14:schemeClr w14:val="tx1"/>
            </w14:solidFill>
          </w14:textFill>
        </w:rPr>
        <w:t>需下挖，保证排水接入（埋深至垫层底按照1.4m深度考虑）。</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排水管道平面图检查井无规格型号</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且</w:t>
      </w:r>
      <w:r>
        <w:rPr>
          <w:rFonts w:hint="eastAsia" w:ascii="仿宋" w:hAnsi="仿宋" w:eastAsia="仿宋" w:cs="仿宋"/>
          <w:bCs/>
          <w:sz w:val="28"/>
          <w:szCs w:val="28"/>
          <w:highlight w:val="none"/>
        </w:rPr>
        <w:t>量表工程量和平面图工程量不一致</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回复：检查井规格型号和数量以量表为准。</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请明确需要包封加固的管道。</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回复：排水出户管及雨水口连接管(聚乙烯PE实壁管)需包封加固。</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请明确</w:t>
      </w:r>
      <w:r>
        <w:rPr>
          <w:rFonts w:hint="eastAsia" w:ascii="仿宋" w:hAnsi="仿宋" w:eastAsia="仿宋" w:cs="仿宋"/>
          <w:bCs/>
          <w:sz w:val="28"/>
          <w:szCs w:val="28"/>
          <w:highlight w:val="none"/>
        </w:rPr>
        <w:t>混凝土挡水坡钢筋及传力杆间距。</w:t>
      </w:r>
    </w:p>
    <w:p>
      <w:pPr>
        <w:pStyle w:val="7"/>
        <w:pageBreakBefore w:val="0"/>
        <w:kinsoku/>
        <w:wordWrap/>
        <w:overflowPunct/>
        <w:topLinePunct w:val="0"/>
        <w:autoSpaceDE/>
        <w:autoSpaceDN/>
        <w:bidi w:val="0"/>
        <w:spacing w:line="560" w:lineRule="exact"/>
        <w:ind w:firstLine="56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回复：传力杆间距50cm，箍筋间距20cm。</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预埋铁件是否考虑防腐涂层。</w:t>
      </w:r>
    </w:p>
    <w:p>
      <w:pPr>
        <w:pageBreakBefore w:val="0"/>
        <w:shd w:val="clear" w:color="auto" w:fill="FFFFFF"/>
        <w:kinsoku/>
        <w:wordWrap/>
        <w:overflowPunct/>
        <w:topLinePunct w:val="0"/>
        <w:autoSpaceDE/>
        <w:autoSpaceDN/>
        <w:bidi w:val="0"/>
        <w:adjustRightInd w:val="0"/>
        <w:snapToGrid w:val="0"/>
        <w:spacing w:line="560" w:lineRule="exact"/>
        <w:ind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回复：不考虑。</w:t>
      </w:r>
    </w:p>
    <w:p>
      <w:pPr>
        <w:pageBreakBefore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请明确钢结构防火涂料类型及耐火等级。</w:t>
      </w:r>
    </w:p>
    <w:p>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回复：钢柱、柱间支撑采用非膨胀型防火涂料，涂刷厚度为27mm，钢梁、檩条、屋面支撑及屋面系杆采用膨胀型防火涂料，涂刷厚度为4mm，耐火等级均为二级。</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雨水口加固箍筋φ22是否有误。</w:t>
      </w:r>
    </w:p>
    <w:p>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回复：雨水口加固箍筋φ8三级带肋钢筋。</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leftChars="0" w:right="0" w:rightChars="0" w:firstLine="560" w:firstLineChars="200"/>
        <w:jc w:val="both"/>
        <w:textAlignment w:val="auto"/>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lang w:val="en-US" w:eastAsia="zh-CN" w:bidi="ar-SA"/>
        </w:rPr>
        <w:t>请明确给水管道保温材料材质、厚度。</w:t>
      </w:r>
    </w:p>
    <w:p>
      <w:pPr>
        <w:pStyle w:val="7"/>
        <w:pageBreakBefore w:val="0"/>
        <w:kinsoku/>
        <w:wordWrap/>
        <w:overflowPunct/>
        <w:topLinePunct w:val="0"/>
        <w:autoSpaceDE/>
        <w:autoSpaceDN/>
        <w:bidi w:val="0"/>
        <w:spacing w:line="56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回复：采用防火等级B1级闭孔橡塑海棉保温，厚度50mm外包1mm难燃型夹筋铝板保护。管道保温做法按国标16S401执行，节点大样图详16S401，P51页。</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leftChars="0" w:right="0" w:rightChars="0" w:firstLine="560" w:firstLineChars="200"/>
        <w:jc w:val="both"/>
        <w:textAlignment w:val="auto"/>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t>电力手孔井600×600mm参照图集20S515页326，图集中井内设流槽，请明确电力井是否设置流槽。</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leftChars="0" w:right="0" w:rightChars="0" w:firstLine="560" w:firstLineChars="200"/>
        <w:jc w:val="both"/>
        <w:textAlignment w:val="auto"/>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t>回复：不需要。</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请提供成品PC控制箱、低压分支柜的参数。</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leftChars="0" w:right="0" w:rightChars="0" w:firstLine="560" w:firstLineChars="200"/>
        <w:jc w:val="both"/>
        <w:textAlignment w:val="auto"/>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t>回复：控制箱采用DGP3-A16(D)，低压分支柜采用SOYINT低压电缆分支箱TP25-5P，具体样式根据当地业主或主管部门要求。</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请明确智能水表、智能电表的规格参数。</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leftChars="0" w:right="0" w:rightChars="0" w:firstLine="560" w:firstLineChars="200"/>
        <w:jc w:val="both"/>
        <w:textAlignment w:val="auto"/>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t>回复：智能水表采用DN100大口径IC卡智能水表，智能电表采用三相4G智能电表，具体样式功能需经业主或管理部门确定。</w:t>
      </w:r>
    </w:p>
    <w:p>
      <w:pPr>
        <w:keepNext w:val="0"/>
        <w:keepLines w:val="0"/>
        <w:pageBreakBefore w:val="0"/>
        <w:widowControl w:val="0"/>
        <w:numPr>
          <w:ilvl w:val="0"/>
          <w:numId w:val="7"/>
        </w:numPr>
        <w:shd w:val="clear" w:color="auto" w:fill="FFFFFF"/>
        <w:kinsoku/>
        <w:wordWrap/>
        <w:overflowPunct/>
        <w:topLinePunct w:val="0"/>
        <w:autoSpaceDE/>
        <w:autoSpaceDN/>
        <w:bidi w:val="0"/>
        <w:adjustRightInd w:val="0"/>
        <w:snapToGrid w:val="0"/>
        <w:spacing w:line="560" w:lineRule="exact"/>
        <w:ind w:left="0" w:firstLine="56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请提供智能水表箱、智能电表箱、智能水电表箱的材质、尺寸及其他相关参数。</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leftChars="0" w:right="0" w:rightChars="0" w:firstLine="560" w:firstLineChars="200"/>
        <w:jc w:val="both"/>
        <w:textAlignment w:val="auto"/>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t>回复：智能水表箱采用201#不锈钢0.6mm厚规格500×248×150mm；智能电表箱采用201#不锈钢0.6mm厚规格450×270×120mm（含户外防雨棚），具体样式需经业主或管理部门确定。</w:t>
      </w:r>
    </w:p>
    <w:p>
      <w:pPr>
        <w:pageBreakBefore w:val="0"/>
        <w:kinsoku/>
        <w:wordWrap/>
        <w:overflowPunct/>
        <w:topLinePunct w:val="0"/>
        <w:autoSpaceDE/>
        <w:autoSpaceDN/>
        <w:bidi w:val="0"/>
        <w:spacing w:line="560" w:lineRule="exact"/>
        <w:jc w:val="lef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监控、消控工程弱电工程</w:t>
      </w:r>
    </w:p>
    <w:p>
      <w:pPr>
        <w:pageBreakBefore w:val="0"/>
        <w:numPr>
          <w:ilvl w:val="0"/>
          <w:numId w:val="8"/>
        </w:numPr>
        <w:kinsoku/>
        <w:wordWrap/>
        <w:overflowPunct/>
        <w:topLinePunct w:val="0"/>
        <w:autoSpaceDE/>
        <w:autoSpaceDN/>
        <w:bidi w:val="0"/>
        <w:spacing w:line="560" w:lineRule="exact"/>
        <w:ind w:left="0"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弱电改造工程量是否参照工程量表计入?</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w:t>
      </w:r>
      <w:r>
        <w:rPr>
          <w:rFonts w:hint="eastAsia" w:ascii="仿宋" w:hAnsi="仿宋" w:eastAsia="仿宋" w:cs="仿宋"/>
          <w:color w:val="auto"/>
          <w:sz w:val="28"/>
          <w:szCs w:val="28"/>
          <w:highlight w:val="none"/>
          <w:lang w:val="en-US" w:eastAsia="zh-CN"/>
        </w:rPr>
        <w:t>按</w:t>
      </w:r>
      <w:r>
        <w:rPr>
          <w:rFonts w:hint="eastAsia" w:ascii="仿宋" w:hAnsi="仿宋" w:eastAsia="仿宋" w:cs="仿宋"/>
          <w:color w:val="auto"/>
          <w:sz w:val="28"/>
          <w:szCs w:val="28"/>
          <w:highlight w:val="none"/>
        </w:rPr>
        <w:t>图纸工程数量表</w:t>
      </w:r>
      <w:r>
        <w:rPr>
          <w:rFonts w:hint="eastAsia" w:ascii="仿宋" w:hAnsi="仿宋" w:eastAsia="仿宋" w:cs="仿宋"/>
          <w:color w:val="auto"/>
          <w:sz w:val="28"/>
          <w:szCs w:val="28"/>
          <w:highlight w:val="none"/>
          <w:lang w:val="en-US" w:eastAsia="zh-CN"/>
        </w:rPr>
        <w:t>计入</w:t>
      </w:r>
      <w:r>
        <w:rPr>
          <w:rFonts w:hint="eastAsia" w:ascii="仿宋" w:hAnsi="仿宋" w:eastAsia="仿宋" w:cs="仿宋"/>
          <w:color w:val="auto"/>
          <w:sz w:val="28"/>
          <w:szCs w:val="28"/>
          <w:highlight w:val="none"/>
        </w:rPr>
        <w:t>。</w:t>
      </w:r>
    </w:p>
    <w:p>
      <w:pPr>
        <w:pageBreakBefore w:val="0"/>
        <w:numPr>
          <w:ilvl w:val="0"/>
          <w:numId w:val="8"/>
        </w:numPr>
        <w:kinsoku/>
        <w:wordWrap/>
        <w:overflowPunct/>
        <w:topLinePunct w:val="0"/>
        <w:autoSpaceDE/>
        <w:autoSpaceDN/>
        <w:bidi w:val="0"/>
        <w:spacing w:line="560" w:lineRule="exact"/>
        <w:ind w:left="0"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请明确预埋钢管的材质</w:t>
      </w:r>
      <w:r>
        <w:rPr>
          <w:rFonts w:hint="eastAsia" w:ascii="仿宋" w:hAnsi="仿宋" w:eastAsia="仿宋" w:cs="仿宋"/>
          <w:color w:val="auto"/>
          <w:sz w:val="28"/>
          <w:szCs w:val="28"/>
          <w:highlight w:val="none"/>
        </w:rPr>
        <w:t>?</w:t>
      </w:r>
    </w:p>
    <w:p>
      <w:pPr>
        <w:pageBreakBefore w:val="0"/>
        <w:kinsoku/>
        <w:wordWrap/>
        <w:overflowPunct/>
        <w:topLinePunct w:val="0"/>
        <w:autoSpaceDE/>
        <w:autoSpaceDN/>
        <w:bidi w:val="0"/>
        <w:spacing w:line="560" w:lineRule="exact"/>
        <w:ind w:firstLine="56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回复：</w:t>
      </w:r>
      <w:r>
        <w:rPr>
          <w:rFonts w:hint="eastAsia" w:ascii="仿宋" w:hAnsi="仿宋" w:eastAsia="仿宋" w:cs="仿宋"/>
          <w:color w:val="auto"/>
          <w:sz w:val="28"/>
          <w:szCs w:val="28"/>
          <w:highlight w:val="none"/>
          <w:lang w:val="en-US" w:eastAsia="zh-CN"/>
        </w:rPr>
        <w:t>材质为镀锌钢管</w:t>
      </w:r>
      <w:r>
        <w:rPr>
          <w:rFonts w:hint="eastAsia" w:ascii="仿宋" w:hAnsi="仿宋" w:eastAsia="仿宋" w:cs="仿宋"/>
          <w:color w:val="auto"/>
          <w:sz w:val="28"/>
          <w:szCs w:val="28"/>
          <w:highlight w:val="none"/>
        </w:rPr>
        <w:t>。</w:t>
      </w:r>
    </w:p>
    <w:p>
      <w:pPr>
        <w:pageBreakBefore w:val="0"/>
        <w:kinsoku/>
        <w:wordWrap/>
        <w:overflowPunct/>
        <w:topLinePunct w:val="0"/>
        <w:autoSpaceDE/>
        <w:autoSpaceDN/>
        <w:bidi w:val="0"/>
        <w:spacing w:line="560" w:lineRule="exact"/>
        <w:ind w:firstLine="562"/>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消防改造</w:t>
      </w:r>
      <w:r>
        <w:rPr>
          <w:rFonts w:hint="eastAsia" w:ascii="仿宋" w:hAnsi="仿宋" w:eastAsia="仿宋" w:cs="仿宋"/>
          <w:b/>
          <w:bCs/>
          <w:sz w:val="28"/>
          <w:szCs w:val="28"/>
          <w:highlight w:val="none"/>
        </w:rPr>
        <w:t>工程</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请提供电缆保护管沟槽断面图。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lang w:val="en-US" w:eastAsia="zh-CN"/>
        </w:rPr>
        <w:t>回复：按</w:t>
      </w:r>
      <w:r>
        <w:rPr>
          <w:rFonts w:hint="eastAsia" w:ascii="仿宋" w:hAnsi="仿宋" w:eastAsia="仿宋" w:cs="仿宋"/>
          <w:sz w:val="28"/>
          <w:szCs w:val="28"/>
          <w:highlight w:val="none"/>
        </w:rPr>
        <w:t>垂直开槽</w:t>
      </w:r>
      <w:r>
        <w:rPr>
          <w:rFonts w:hint="eastAsia" w:ascii="仿宋" w:hAnsi="仿宋" w:eastAsia="仿宋" w:cs="仿宋"/>
          <w:sz w:val="28"/>
          <w:szCs w:val="28"/>
          <w:highlight w:val="none"/>
          <w:lang w:val="en-US" w:eastAsia="zh-CN"/>
        </w:rPr>
        <w:t>深</w:t>
      </w:r>
      <w:r>
        <w:rPr>
          <w:rFonts w:hint="eastAsia" w:ascii="仿宋" w:hAnsi="仿宋" w:eastAsia="仿宋" w:cs="仿宋"/>
          <w:sz w:val="28"/>
          <w:szCs w:val="28"/>
          <w:highlight w:val="none"/>
        </w:rPr>
        <w:t>30cm</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开槽宽度：管径×2，最低不小于10cm</w:t>
      </w:r>
      <w:r>
        <w:rPr>
          <w:rFonts w:hint="eastAsia" w:ascii="仿宋" w:hAnsi="仿宋" w:eastAsia="仿宋" w:cs="仿宋"/>
          <w:sz w:val="28"/>
          <w:szCs w:val="28"/>
          <w:highlight w:val="none"/>
          <w:lang w:eastAsia="zh-CN"/>
        </w:rPr>
        <w:t>。</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89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0"/>
      <w:jc w:val="center"/>
      <w:rPr>
        <w:color w:val="5B9BD5" w:themeColor="accent1"/>
        <w:sz w:val="24"/>
        <w:szCs w:val="24"/>
        <w14:textFill>
          <w14:solidFill>
            <w14:schemeClr w14:val="accent1"/>
          </w14:solidFill>
        </w14:textFill>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2"/>
                            <w:ind w:firstLine="360"/>
                          </w:pPr>
                          <w:r>
                            <w:fldChar w:fldCharType="begin"/>
                          </w:r>
                          <w:r>
                            <w:instrText xml:space="preserve"> PAGE  \* MERGEFORMAT </w:instrText>
                          </w:r>
                          <w:r>
                            <w:fldChar w:fldCharType="separate"/>
                          </w:r>
                          <w:r>
                            <w:t>22</w:t>
                          </w:r>
                          <w:r>
                            <w:fldChar w:fldCharType="end"/>
                          </w:r>
                          <w:r>
                            <w:t xml:space="preserve"> / </w:t>
                          </w:r>
                          <w:r>
                            <w:fldChar w:fldCharType="begin"/>
                          </w:r>
                          <w:r>
                            <w:instrText xml:space="preserve"> NUMPAGES  \* MERGEFORMAT </w:instrText>
                          </w:r>
                          <w:r>
                            <w:fldChar w:fldCharType="separate"/>
                          </w:r>
                          <w:r>
                            <w:t>23</w:t>
                          </w:r>
                          <w:r>
                            <w:fldChar w:fldCharType="end"/>
                          </w:r>
                        </w:p>
                      </w:txbxContent>
                    </wps:txbx>
                    <wps:bodyPr vert="horz" wrap="none" lIns="0" tIns="0" rIns="0" bIns="0" anchor="t" anchorCtr="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miXpJ4QEAALwDAAAOAAAA&#10;AAAAAAEAIAAAAB4BAABkcnMvZTJvRG9jLnhtbFBLBQYAAAAABgAGAFkBAABxBQAAAAA=&#10;">
              <v:fill on="f" focussize="0,0"/>
              <v:stroke on="f"/>
              <v:imagedata o:title=""/>
              <o:lock v:ext="edit" aspectratio="f"/>
              <v:textbox inset="0mm,0mm,0mm,0mm" style="mso-fit-shape-to-text:t;">
                <w:txbxContent>
                  <w:p>
                    <w:pPr>
                      <w:pStyle w:val="12"/>
                      <w:ind w:firstLine="360"/>
                    </w:pPr>
                    <w:r>
                      <w:fldChar w:fldCharType="begin"/>
                    </w:r>
                    <w:r>
                      <w:instrText xml:space="preserve"> PAGE  \* MERGEFORMAT </w:instrText>
                    </w:r>
                    <w:r>
                      <w:fldChar w:fldCharType="separate"/>
                    </w:r>
                    <w:r>
                      <w:t>22</w:t>
                    </w:r>
                    <w:r>
                      <w:fldChar w:fldCharType="end"/>
                    </w:r>
                    <w:r>
                      <w:t xml:space="preserve"> / </w:t>
                    </w:r>
                    <w:r>
                      <w:fldChar w:fldCharType="begin"/>
                    </w:r>
                    <w:r>
                      <w:instrText xml:space="preserve"> NUMPAGES  \* MERGEFORMAT </w:instrText>
                    </w:r>
                    <w:r>
                      <w:fldChar w:fldCharType="separate"/>
                    </w:r>
                    <w:r>
                      <w:t>23</w:t>
                    </w:r>
                    <w:r>
                      <w:fldChar w:fldCharType="end"/>
                    </w:r>
                  </w:p>
                </w:txbxContent>
              </v:textbox>
            </v:shape>
          </w:pict>
        </mc:Fallback>
      </mc:AlternateContent>
    </w:r>
  </w:p>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E2E81"/>
    <w:multiLevelType w:val="singleLevel"/>
    <w:tmpl w:val="9AEE2E81"/>
    <w:lvl w:ilvl="0" w:tentative="0">
      <w:start w:val="1"/>
      <w:numFmt w:val="decimal"/>
      <w:lvlText w:val="%1."/>
      <w:lvlJc w:val="left"/>
      <w:pPr>
        <w:ind w:left="635" w:hanging="425"/>
      </w:pPr>
      <w:rPr>
        <w:rFonts w:hint="default" w:ascii="仿宋" w:hAnsi="仿宋" w:eastAsia="仿宋" w:cs="仿宋"/>
        <w:color w:val="auto"/>
        <w:sz w:val="28"/>
        <w:szCs w:val="28"/>
      </w:rPr>
    </w:lvl>
  </w:abstractNum>
  <w:abstractNum w:abstractNumId="1">
    <w:nsid w:val="BCC99A73"/>
    <w:multiLevelType w:val="singleLevel"/>
    <w:tmpl w:val="BCC99A73"/>
    <w:lvl w:ilvl="0" w:tentative="0">
      <w:start w:val="1"/>
      <w:numFmt w:val="decimal"/>
      <w:lvlText w:val="%1."/>
      <w:lvlJc w:val="left"/>
      <w:pPr>
        <w:ind w:left="425" w:hanging="425"/>
      </w:pPr>
      <w:rPr>
        <w:rFonts w:hint="default"/>
      </w:rPr>
    </w:lvl>
  </w:abstractNum>
  <w:abstractNum w:abstractNumId="2">
    <w:nsid w:val="C1E694B7"/>
    <w:multiLevelType w:val="singleLevel"/>
    <w:tmpl w:val="C1E694B7"/>
    <w:lvl w:ilvl="0" w:tentative="0">
      <w:start w:val="1"/>
      <w:numFmt w:val="decimal"/>
      <w:lvlText w:val="%1."/>
      <w:lvlJc w:val="left"/>
      <w:pPr>
        <w:ind w:left="635" w:hanging="425"/>
      </w:pPr>
      <w:rPr>
        <w:rFonts w:hint="default" w:ascii="仿宋" w:hAnsi="仿宋" w:eastAsia="仿宋" w:cs="仿宋"/>
        <w:color w:val="auto"/>
        <w:sz w:val="28"/>
        <w:szCs w:val="28"/>
      </w:rPr>
    </w:lvl>
  </w:abstractNum>
  <w:abstractNum w:abstractNumId="3">
    <w:nsid w:val="C497590A"/>
    <w:multiLevelType w:val="singleLevel"/>
    <w:tmpl w:val="C497590A"/>
    <w:lvl w:ilvl="0" w:tentative="0">
      <w:start w:val="1"/>
      <w:numFmt w:val="decimal"/>
      <w:lvlText w:val="%1."/>
      <w:lvlJc w:val="left"/>
      <w:pPr>
        <w:ind w:left="635" w:hanging="425"/>
      </w:pPr>
      <w:rPr>
        <w:rFonts w:hint="default" w:ascii="仿宋" w:hAnsi="仿宋" w:eastAsia="仿宋" w:cs="仿宋"/>
        <w:color w:val="auto"/>
        <w:sz w:val="28"/>
        <w:szCs w:val="28"/>
      </w:rPr>
    </w:lvl>
  </w:abstractNum>
  <w:abstractNum w:abstractNumId="4">
    <w:nsid w:val="D2DF23DC"/>
    <w:multiLevelType w:val="singleLevel"/>
    <w:tmpl w:val="D2DF23DC"/>
    <w:lvl w:ilvl="0" w:tentative="0">
      <w:start w:val="1"/>
      <w:numFmt w:val="decimal"/>
      <w:lvlText w:val="%1."/>
      <w:lvlJc w:val="left"/>
      <w:pPr>
        <w:ind w:left="635" w:hanging="425"/>
      </w:pPr>
      <w:rPr>
        <w:rFonts w:hint="default" w:ascii="仿宋" w:hAnsi="仿宋" w:eastAsia="仿宋" w:cs="仿宋"/>
        <w:color w:val="auto"/>
        <w:sz w:val="28"/>
        <w:szCs w:val="28"/>
      </w:rPr>
    </w:lvl>
  </w:abstractNum>
  <w:abstractNum w:abstractNumId="5">
    <w:nsid w:val="2F60E3C4"/>
    <w:multiLevelType w:val="singleLevel"/>
    <w:tmpl w:val="2F60E3C4"/>
    <w:lvl w:ilvl="0" w:tentative="0">
      <w:start w:val="1"/>
      <w:numFmt w:val="decimal"/>
      <w:lvlText w:val="%1."/>
      <w:lvlJc w:val="left"/>
      <w:pPr>
        <w:ind w:left="635" w:hanging="425"/>
      </w:pPr>
      <w:rPr>
        <w:rFonts w:hint="default" w:ascii="仿宋" w:hAnsi="仿宋" w:eastAsia="仿宋" w:cs="仿宋"/>
        <w:color w:val="auto"/>
        <w:sz w:val="28"/>
        <w:szCs w:val="28"/>
      </w:rPr>
    </w:lvl>
  </w:abstractNum>
  <w:abstractNum w:abstractNumId="6">
    <w:nsid w:val="5753CDE6"/>
    <w:multiLevelType w:val="singleLevel"/>
    <w:tmpl w:val="5753CDE6"/>
    <w:lvl w:ilvl="0" w:tentative="0">
      <w:start w:val="1"/>
      <w:numFmt w:val="decimal"/>
      <w:lvlText w:val="%1."/>
      <w:lvlJc w:val="left"/>
      <w:pPr>
        <w:ind w:left="635" w:hanging="425"/>
      </w:pPr>
      <w:rPr>
        <w:rFonts w:hint="default" w:ascii="仿宋" w:hAnsi="仿宋" w:eastAsia="仿宋" w:cs="仿宋"/>
        <w:color w:val="auto"/>
        <w:sz w:val="28"/>
        <w:szCs w:val="28"/>
      </w:rPr>
    </w:lvl>
  </w:abstractNum>
  <w:abstractNum w:abstractNumId="7">
    <w:nsid w:val="7A2284A5"/>
    <w:multiLevelType w:val="singleLevel"/>
    <w:tmpl w:val="7A2284A5"/>
    <w:lvl w:ilvl="0" w:tentative="0">
      <w:start w:val="1"/>
      <w:numFmt w:val="decimal"/>
      <w:lvlText w:val="%1."/>
      <w:lvlJc w:val="left"/>
      <w:pPr>
        <w:ind w:left="425" w:hanging="425"/>
      </w:pPr>
      <w:rPr>
        <w:rFonts w:hint="default"/>
      </w:rPr>
    </w:lvl>
  </w:abstractNum>
  <w:abstractNum w:abstractNumId="8">
    <w:nsid w:val="7C94D73F"/>
    <w:multiLevelType w:val="singleLevel"/>
    <w:tmpl w:val="7C94D73F"/>
    <w:lvl w:ilvl="0" w:tentative="0">
      <w:start w:val="1"/>
      <w:numFmt w:val="decimal"/>
      <w:lvlText w:val="%1."/>
      <w:lvlJc w:val="left"/>
      <w:pPr>
        <w:ind w:left="635" w:hanging="425"/>
      </w:pPr>
      <w:rPr>
        <w:rFonts w:hint="default" w:ascii="仿宋" w:hAnsi="仿宋" w:eastAsia="仿宋" w:cs="仿宋"/>
        <w:color w:val="auto"/>
        <w:sz w:val="28"/>
        <w:szCs w:val="28"/>
      </w:rPr>
    </w:lvl>
  </w:abstractNum>
  <w:num w:numId="1">
    <w:abstractNumId w:val="2"/>
  </w:num>
  <w:num w:numId="2">
    <w:abstractNumId w:val="3"/>
  </w:num>
  <w:num w:numId="3">
    <w:abstractNumId w:val="5"/>
  </w:num>
  <w:num w:numId="4">
    <w:abstractNumId w:val="4"/>
  </w:num>
  <w:num w:numId="5">
    <w:abstractNumId w:val="0"/>
  </w:num>
  <w:num w:numId="6">
    <w:abstractNumId w:val="6"/>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5M2NiMmM0ZWZlOGVhODMzZjE0Y2JmY2M1NGRkNjYifQ=="/>
  </w:docVars>
  <w:rsids>
    <w:rsidRoot w:val="004F3050"/>
    <w:rsid w:val="000172B2"/>
    <w:rsid w:val="000327F5"/>
    <w:rsid w:val="00076DC1"/>
    <w:rsid w:val="000E2421"/>
    <w:rsid w:val="000E48EA"/>
    <w:rsid w:val="00103F61"/>
    <w:rsid w:val="0013470D"/>
    <w:rsid w:val="0014172E"/>
    <w:rsid w:val="0016208A"/>
    <w:rsid w:val="001A0154"/>
    <w:rsid w:val="00201CDD"/>
    <w:rsid w:val="00220DF2"/>
    <w:rsid w:val="00262F55"/>
    <w:rsid w:val="0027108C"/>
    <w:rsid w:val="00276B97"/>
    <w:rsid w:val="002A09A6"/>
    <w:rsid w:val="00312157"/>
    <w:rsid w:val="00333A2A"/>
    <w:rsid w:val="00336566"/>
    <w:rsid w:val="00347253"/>
    <w:rsid w:val="00366A8F"/>
    <w:rsid w:val="00393B53"/>
    <w:rsid w:val="003A08C4"/>
    <w:rsid w:val="003D3A1D"/>
    <w:rsid w:val="003E5C94"/>
    <w:rsid w:val="003F534D"/>
    <w:rsid w:val="00413983"/>
    <w:rsid w:val="0042245C"/>
    <w:rsid w:val="00426908"/>
    <w:rsid w:val="004A31D1"/>
    <w:rsid w:val="004C3004"/>
    <w:rsid w:val="004F3050"/>
    <w:rsid w:val="00557703"/>
    <w:rsid w:val="005852B1"/>
    <w:rsid w:val="00597A58"/>
    <w:rsid w:val="005A2E45"/>
    <w:rsid w:val="005C2E2A"/>
    <w:rsid w:val="005C6852"/>
    <w:rsid w:val="00631A50"/>
    <w:rsid w:val="00674F75"/>
    <w:rsid w:val="00675481"/>
    <w:rsid w:val="006B1F21"/>
    <w:rsid w:val="006B4DF4"/>
    <w:rsid w:val="006D1F45"/>
    <w:rsid w:val="0071284F"/>
    <w:rsid w:val="00733D3A"/>
    <w:rsid w:val="00743477"/>
    <w:rsid w:val="007952D2"/>
    <w:rsid w:val="007A51B4"/>
    <w:rsid w:val="007A6F63"/>
    <w:rsid w:val="007B3E51"/>
    <w:rsid w:val="007E07E5"/>
    <w:rsid w:val="007E1B6D"/>
    <w:rsid w:val="00807328"/>
    <w:rsid w:val="00807E12"/>
    <w:rsid w:val="00822C84"/>
    <w:rsid w:val="00837B3A"/>
    <w:rsid w:val="00856C82"/>
    <w:rsid w:val="00873DD7"/>
    <w:rsid w:val="008A326B"/>
    <w:rsid w:val="008D3142"/>
    <w:rsid w:val="008D514B"/>
    <w:rsid w:val="008F5F79"/>
    <w:rsid w:val="00912201"/>
    <w:rsid w:val="009159B5"/>
    <w:rsid w:val="0094330D"/>
    <w:rsid w:val="00943BC7"/>
    <w:rsid w:val="009775F2"/>
    <w:rsid w:val="009B0797"/>
    <w:rsid w:val="009B2496"/>
    <w:rsid w:val="009C1E60"/>
    <w:rsid w:val="00A02A2B"/>
    <w:rsid w:val="00A05D6A"/>
    <w:rsid w:val="00A27D0E"/>
    <w:rsid w:val="00A30D1D"/>
    <w:rsid w:val="00A524EC"/>
    <w:rsid w:val="00A83AD0"/>
    <w:rsid w:val="00AB6191"/>
    <w:rsid w:val="00B562E1"/>
    <w:rsid w:val="00BA3501"/>
    <w:rsid w:val="00BA4E69"/>
    <w:rsid w:val="00BC31B4"/>
    <w:rsid w:val="00BC6B58"/>
    <w:rsid w:val="00BE5ACD"/>
    <w:rsid w:val="00BF1D41"/>
    <w:rsid w:val="00C047D8"/>
    <w:rsid w:val="00C266F8"/>
    <w:rsid w:val="00C534C9"/>
    <w:rsid w:val="00C65821"/>
    <w:rsid w:val="00C82FB3"/>
    <w:rsid w:val="00CA3779"/>
    <w:rsid w:val="00CD6B5E"/>
    <w:rsid w:val="00D12BDC"/>
    <w:rsid w:val="00D12C0B"/>
    <w:rsid w:val="00D36DCA"/>
    <w:rsid w:val="00D41D1C"/>
    <w:rsid w:val="00D85E07"/>
    <w:rsid w:val="00D92F29"/>
    <w:rsid w:val="00DB20F7"/>
    <w:rsid w:val="00DB5BF0"/>
    <w:rsid w:val="00DD2CAE"/>
    <w:rsid w:val="00E23702"/>
    <w:rsid w:val="00E37313"/>
    <w:rsid w:val="00E406B7"/>
    <w:rsid w:val="00E57ECA"/>
    <w:rsid w:val="00E67D71"/>
    <w:rsid w:val="00E7544C"/>
    <w:rsid w:val="00E943F1"/>
    <w:rsid w:val="00E97179"/>
    <w:rsid w:val="00ED6581"/>
    <w:rsid w:val="00EF22D2"/>
    <w:rsid w:val="00F02CDC"/>
    <w:rsid w:val="00F04FFA"/>
    <w:rsid w:val="00F14872"/>
    <w:rsid w:val="00F60FA8"/>
    <w:rsid w:val="00FC2394"/>
    <w:rsid w:val="00FF14DB"/>
    <w:rsid w:val="00FF2A1D"/>
    <w:rsid w:val="00FF3165"/>
    <w:rsid w:val="00FF33CB"/>
    <w:rsid w:val="01015567"/>
    <w:rsid w:val="01057F1E"/>
    <w:rsid w:val="012D66CB"/>
    <w:rsid w:val="013A432D"/>
    <w:rsid w:val="0144182A"/>
    <w:rsid w:val="01450BEC"/>
    <w:rsid w:val="014647E8"/>
    <w:rsid w:val="0160757D"/>
    <w:rsid w:val="01653BA4"/>
    <w:rsid w:val="01734239"/>
    <w:rsid w:val="01761E20"/>
    <w:rsid w:val="01890ABE"/>
    <w:rsid w:val="018B08DD"/>
    <w:rsid w:val="018E1F4B"/>
    <w:rsid w:val="019A7C94"/>
    <w:rsid w:val="01AA7D1B"/>
    <w:rsid w:val="01BA22B8"/>
    <w:rsid w:val="01C761D7"/>
    <w:rsid w:val="01CB77AA"/>
    <w:rsid w:val="01D75314"/>
    <w:rsid w:val="01DD7C9C"/>
    <w:rsid w:val="01E94501"/>
    <w:rsid w:val="01EE19B6"/>
    <w:rsid w:val="01F0536C"/>
    <w:rsid w:val="021C0EA8"/>
    <w:rsid w:val="023002EA"/>
    <w:rsid w:val="02340141"/>
    <w:rsid w:val="02345010"/>
    <w:rsid w:val="025C35F5"/>
    <w:rsid w:val="025C41EB"/>
    <w:rsid w:val="026A12F7"/>
    <w:rsid w:val="02786099"/>
    <w:rsid w:val="02866093"/>
    <w:rsid w:val="028F2AD8"/>
    <w:rsid w:val="02964A4A"/>
    <w:rsid w:val="02A64078"/>
    <w:rsid w:val="02A72F4F"/>
    <w:rsid w:val="02AC3AB4"/>
    <w:rsid w:val="02BD75DA"/>
    <w:rsid w:val="02C62933"/>
    <w:rsid w:val="02C95F7F"/>
    <w:rsid w:val="02CD1F13"/>
    <w:rsid w:val="02D820CF"/>
    <w:rsid w:val="02DA19A6"/>
    <w:rsid w:val="02DB465B"/>
    <w:rsid w:val="02DC5124"/>
    <w:rsid w:val="02DE79AF"/>
    <w:rsid w:val="02DF39F5"/>
    <w:rsid w:val="02ED6112"/>
    <w:rsid w:val="031E62CB"/>
    <w:rsid w:val="034D0203"/>
    <w:rsid w:val="035D7402"/>
    <w:rsid w:val="035F7922"/>
    <w:rsid w:val="03724BEA"/>
    <w:rsid w:val="0377154D"/>
    <w:rsid w:val="03836A76"/>
    <w:rsid w:val="03993BA4"/>
    <w:rsid w:val="03A7507A"/>
    <w:rsid w:val="03A763E2"/>
    <w:rsid w:val="03AA0E3C"/>
    <w:rsid w:val="03AC1B29"/>
    <w:rsid w:val="03D82979"/>
    <w:rsid w:val="03E0327A"/>
    <w:rsid w:val="03E7460F"/>
    <w:rsid w:val="03FF4509"/>
    <w:rsid w:val="0419001A"/>
    <w:rsid w:val="045301F6"/>
    <w:rsid w:val="045D4105"/>
    <w:rsid w:val="047168CE"/>
    <w:rsid w:val="04762C22"/>
    <w:rsid w:val="047904C5"/>
    <w:rsid w:val="04A80D0F"/>
    <w:rsid w:val="04CF4DBD"/>
    <w:rsid w:val="04D4275A"/>
    <w:rsid w:val="04DD3F64"/>
    <w:rsid w:val="04E61D08"/>
    <w:rsid w:val="04F22AC3"/>
    <w:rsid w:val="04FF3EDA"/>
    <w:rsid w:val="05173697"/>
    <w:rsid w:val="051861B9"/>
    <w:rsid w:val="052667C0"/>
    <w:rsid w:val="05283431"/>
    <w:rsid w:val="052E460D"/>
    <w:rsid w:val="052F0BD6"/>
    <w:rsid w:val="054A1B88"/>
    <w:rsid w:val="05641206"/>
    <w:rsid w:val="05654685"/>
    <w:rsid w:val="05790131"/>
    <w:rsid w:val="05790181"/>
    <w:rsid w:val="057E74F5"/>
    <w:rsid w:val="058B2E09"/>
    <w:rsid w:val="059471B5"/>
    <w:rsid w:val="05C14567"/>
    <w:rsid w:val="05DB2239"/>
    <w:rsid w:val="05DD1DAD"/>
    <w:rsid w:val="05E05ABA"/>
    <w:rsid w:val="05EA2DDC"/>
    <w:rsid w:val="05EC3746"/>
    <w:rsid w:val="06063EA7"/>
    <w:rsid w:val="060E6ACB"/>
    <w:rsid w:val="061A7EA9"/>
    <w:rsid w:val="062C6F51"/>
    <w:rsid w:val="06587D46"/>
    <w:rsid w:val="06763E14"/>
    <w:rsid w:val="068279E8"/>
    <w:rsid w:val="06863C86"/>
    <w:rsid w:val="068838F4"/>
    <w:rsid w:val="068A376F"/>
    <w:rsid w:val="069731EF"/>
    <w:rsid w:val="06B116D0"/>
    <w:rsid w:val="06B3303C"/>
    <w:rsid w:val="06B46E17"/>
    <w:rsid w:val="06C549D7"/>
    <w:rsid w:val="06EE06AA"/>
    <w:rsid w:val="06F15AA5"/>
    <w:rsid w:val="06F5296B"/>
    <w:rsid w:val="06FD4B40"/>
    <w:rsid w:val="072A7934"/>
    <w:rsid w:val="072B7D8D"/>
    <w:rsid w:val="072C734B"/>
    <w:rsid w:val="07761A25"/>
    <w:rsid w:val="0781151E"/>
    <w:rsid w:val="07836D92"/>
    <w:rsid w:val="07A87F29"/>
    <w:rsid w:val="07C37441"/>
    <w:rsid w:val="07E62067"/>
    <w:rsid w:val="08037E1F"/>
    <w:rsid w:val="0831084F"/>
    <w:rsid w:val="08313DF4"/>
    <w:rsid w:val="083420ED"/>
    <w:rsid w:val="0837398B"/>
    <w:rsid w:val="085E716A"/>
    <w:rsid w:val="086329D2"/>
    <w:rsid w:val="08741DF2"/>
    <w:rsid w:val="087703A2"/>
    <w:rsid w:val="08986F03"/>
    <w:rsid w:val="08A76D63"/>
    <w:rsid w:val="08B53794"/>
    <w:rsid w:val="08BC2029"/>
    <w:rsid w:val="08CA12B8"/>
    <w:rsid w:val="08D50089"/>
    <w:rsid w:val="08FB3FCA"/>
    <w:rsid w:val="09066CEF"/>
    <w:rsid w:val="091A12E3"/>
    <w:rsid w:val="092B34F0"/>
    <w:rsid w:val="0949606C"/>
    <w:rsid w:val="094D1CD2"/>
    <w:rsid w:val="095D5673"/>
    <w:rsid w:val="095F7744"/>
    <w:rsid w:val="09624B8B"/>
    <w:rsid w:val="09644C54"/>
    <w:rsid w:val="096F2BA2"/>
    <w:rsid w:val="09811C71"/>
    <w:rsid w:val="09845B00"/>
    <w:rsid w:val="0985158B"/>
    <w:rsid w:val="09AC5C59"/>
    <w:rsid w:val="09B01C47"/>
    <w:rsid w:val="09B07156"/>
    <w:rsid w:val="09B533A7"/>
    <w:rsid w:val="09BD26CF"/>
    <w:rsid w:val="09C63218"/>
    <w:rsid w:val="09DB16A8"/>
    <w:rsid w:val="09E476E5"/>
    <w:rsid w:val="09F01191"/>
    <w:rsid w:val="09F36E1A"/>
    <w:rsid w:val="09FA79C4"/>
    <w:rsid w:val="0A1274FF"/>
    <w:rsid w:val="0A1E3929"/>
    <w:rsid w:val="0A4154FB"/>
    <w:rsid w:val="0A471AF1"/>
    <w:rsid w:val="0A4F123F"/>
    <w:rsid w:val="0A4F320E"/>
    <w:rsid w:val="0A553E45"/>
    <w:rsid w:val="0A666F3C"/>
    <w:rsid w:val="0A6777A4"/>
    <w:rsid w:val="0A72767F"/>
    <w:rsid w:val="0A8C4462"/>
    <w:rsid w:val="0A9D041D"/>
    <w:rsid w:val="0AAC68B2"/>
    <w:rsid w:val="0AAE6186"/>
    <w:rsid w:val="0AC0797F"/>
    <w:rsid w:val="0AC43BFC"/>
    <w:rsid w:val="0AC95599"/>
    <w:rsid w:val="0ACF3715"/>
    <w:rsid w:val="0AF65D7F"/>
    <w:rsid w:val="0B116715"/>
    <w:rsid w:val="0B125378"/>
    <w:rsid w:val="0B173C9F"/>
    <w:rsid w:val="0B1E2F60"/>
    <w:rsid w:val="0B2B77D7"/>
    <w:rsid w:val="0B327959"/>
    <w:rsid w:val="0B4A2AED"/>
    <w:rsid w:val="0B584344"/>
    <w:rsid w:val="0B896BF3"/>
    <w:rsid w:val="0B925AA8"/>
    <w:rsid w:val="0B9D3057"/>
    <w:rsid w:val="0BA31A63"/>
    <w:rsid w:val="0BAF0860"/>
    <w:rsid w:val="0BB10FC0"/>
    <w:rsid w:val="0BDC2B25"/>
    <w:rsid w:val="0BE8149F"/>
    <w:rsid w:val="0BF50C4A"/>
    <w:rsid w:val="0BF63903"/>
    <w:rsid w:val="0BFA6770"/>
    <w:rsid w:val="0C165E39"/>
    <w:rsid w:val="0C3F5F32"/>
    <w:rsid w:val="0C4621C2"/>
    <w:rsid w:val="0C52443B"/>
    <w:rsid w:val="0C596D0E"/>
    <w:rsid w:val="0C5F15B3"/>
    <w:rsid w:val="0C6329E2"/>
    <w:rsid w:val="0C662E5F"/>
    <w:rsid w:val="0C6907A2"/>
    <w:rsid w:val="0C9233AD"/>
    <w:rsid w:val="0CAF61E6"/>
    <w:rsid w:val="0CC74A54"/>
    <w:rsid w:val="0CCD2EAB"/>
    <w:rsid w:val="0CF34325"/>
    <w:rsid w:val="0CFA3905"/>
    <w:rsid w:val="0CFD33F5"/>
    <w:rsid w:val="0D040D57"/>
    <w:rsid w:val="0D170E6E"/>
    <w:rsid w:val="0D197B03"/>
    <w:rsid w:val="0D1E1A8E"/>
    <w:rsid w:val="0D4032E2"/>
    <w:rsid w:val="0D430101"/>
    <w:rsid w:val="0D4B35CF"/>
    <w:rsid w:val="0D6613E9"/>
    <w:rsid w:val="0D674D12"/>
    <w:rsid w:val="0D6C6250"/>
    <w:rsid w:val="0D707B0F"/>
    <w:rsid w:val="0D8B27AF"/>
    <w:rsid w:val="0D951880"/>
    <w:rsid w:val="0DA46FDA"/>
    <w:rsid w:val="0DA609CF"/>
    <w:rsid w:val="0DE353E5"/>
    <w:rsid w:val="0DEE2993"/>
    <w:rsid w:val="0E25478B"/>
    <w:rsid w:val="0E2942EF"/>
    <w:rsid w:val="0E2F3A82"/>
    <w:rsid w:val="0E2F405E"/>
    <w:rsid w:val="0E424D4B"/>
    <w:rsid w:val="0E4447F7"/>
    <w:rsid w:val="0E4B69C3"/>
    <w:rsid w:val="0E6E5A1F"/>
    <w:rsid w:val="0E7B6CC7"/>
    <w:rsid w:val="0E7C0D4C"/>
    <w:rsid w:val="0E862C0A"/>
    <w:rsid w:val="0E8B35C6"/>
    <w:rsid w:val="0E910748"/>
    <w:rsid w:val="0E96653B"/>
    <w:rsid w:val="0EA63619"/>
    <w:rsid w:val="0EC410E4"/>
    <w:rsid w:val="0ECE329B"/>
    <w:rsid w:val="0EDE2DB2"/>
    <w:rsid w:val="0F0071CD"/>
    <w:rsid w:val="0F074F29"/>
    <w:rsid w:val="0F0B089D"/>
    <w:rsid w:val="0F25101A"/>
    <w:rsid w:val="0F602ADE"/>
    <w:rsid w:val="0F6A2898"/>
    <w:rsid w:val="0F835BE4"/>
    <w:rsid w:val="0F850C79"/>
    <w:rsid w:val="0FA25AF2"/>
    <w:rsid w:val="0FA40F74"/>
    <w:rsid w:val="0FB81855"/>
    <w:rsid w:val="0FBB2E88"/>
    <w:rsid w:val="0FF7412C"/>
    <w:rsid w:val="10045531"/>
    <w:rsid w:val="10046798"/>
    <w:rsid w:val="103047D2"/>
    <w:rsid w:val="1041184B"/>
    <w:rsid w:val="10463C44"/>
    <w:rsid w:val="10687DDF"/>
    <w:rsid w:val="108E36F5"/>
    <w:rsid w:val="10A03B2F"/>
    <w:rsid w:val="10A5395E"/>
    <w:rsid w:val="10BC37A3"/>
    <w:rsid w:val="10C53C9A"/>
    <w:rsid w:val="10D2655B"/>
    <w:rsid w:val="10E36DA6"/>
    <w:rsid w:val="10E86EE4"/>
    <w:rsid w:val="10F81881"/>
    <w:rsid w:val="111D1CDB"/>
    <w:rsid w:val="112159BB"/>
    <w:rsid w:val="112C46C1"/>
    <w:rsid w:val="113A4C18"/>
    <w:rsid w:val="113D4DF2"/>
    <w:rsid w:val="114602AB"/>
    <w:rsid w:val="11460C5D"/>
    <w:rsid w:val="114B5FED"/>
    <w:rsid w:val="116C6D9B"/>
    <w:rsid w:val="117877E3"/>
    <w:rsid w:val="11873B72"/>
    <w:rsid w:val="1190073D"/>
    <w:rsid w:val="11C76995"/>
    <w:rsid w:val="11C92BE3"/>
    <w:rsid w:val="11CB3AC2"/>
    <w:rsid w:val="11E64458"/>
    <w:rsid w:val="12036867"/>
    <w:rsid w:val="1236270F"/>
    <w:rsid w:val="1240363F"/>
    <w:rsid w:val="126A1661"/>
    <w:rsid w:val="127B6A48"/>
    <w:rsid w:val="12824FE8"/>
    <w:rsid w:val="12942573"/>
    <w:rsid w:val="129B7938"/>
    <w:rsid w:val="12A32349"/>
    <w:rsid w:val="12A466B2"/>
    <w:rsid w:val="12BC340B"/>
    <w:rsid w:val="12C21E73"/>
    <w:rsid w:val="12CB2183"/>
    <w:rsid w:val="12D37549"/>
    <w:rsid w:val="12DE4D8C"/>
    <w:rsid w:val="12EF7422"/>
    <w:rsid w:val="12F2758F"/>
    <w:rsid w:val="12F928B1"/>
    <w:rsid w:val="130676F4"/>
    <w:rsid w:val="130A26C8"/>
    <w:rsid w:val="13156E1E"/>
    <w:rsid w:val="131C20FB"/>
    <w:rsid w:val="135F0549"/>
    <w:rsid w:val="13737E8C"/>
    <w:rsid w:val="13781A27"/>
    <w:rsid w:val="1382544E"/>
    <w:rsid w:val="13895D03"/>
    <w:rsid w:val="13A37099"/>
    <w:rsid w:val="13A5409B"/>
    <w:rsid w:val="13AC4F4F"/>
    <w:rsid w:val="13CB7DA9"/>
    <w:rsid w:val="13D50C28"/>
    <w:rsid w:val="13DB362B"/>
    <w:rsid w:val="13DB5938"/>
    <w:rsid w:val="13DC0D7A"/>
    <w:rsid w:val="13F76DF0"/>
    <w:rsid w:val="14042DB7"/>
    <w:rsid w:val="140A090B"/>
    <w:rsid w:val="14163A19"/>
    <w:rsid w:val="14540B51"/>
    <w:rsid w:val="14693A81"/>
    <w:rsid w:val="147072F3"/>
    <w:rsid w:val="14736A5E"/>
    <w:rsid w:val="149178DF"/>
    <w:rsid w:val="14987460"/>
    <w:rsid w:val="14A4186C"/>
    <w:rsid w:val="14D131ED"/>
    <w:rsid w:val="1501437E"/>
    <w:rsid w:val="15033FF3"/>
    <w:rsid w:val="15041557"/>
    <w:rsid w:val="152434A4"/>
    <w:rsid w:val="15362813"/>
    <w:rsid w:val="153B08E3"/>
    <w:rsid w:val="153D4CD7"/>
    <w:rsid w:val="155B5BA1"/>
    <w:rsid w:val="155F7E1D"/>
    <w:rsid w:val="15641239"/>
    <w:rsid w:val="156423D0"/>
    <w:rsid w:val="15746899"/>
    <w:rsid w:val="159F6110"/>
    <w:rsid w:val="15A5462A"/>
    <w:rsid w:val="15DC65E3"/>
    <w:rsid w:val="15E213DA"/>
    <w:rsid w:val="15E50ECA"/>
    <w:rsid w:val="15E74E37"/>
    <w:rsid w:val="15EE6652"/>
    <w:rsid w:val="16082A31"/>
    <w:rsid w:val="160F1472"/>
    <w:rsid w:val="16105F47"/>
    <w:rsid w:val="162241C0"/>
    <w:rsid w:val="163013A5"/>
    <w:rsid w:val="163B0AEA"/>
    <w:rsid w:val="163F05DA"/>
    <w:rsid w:val="16510AFB"/>
    <w:rsid w:val="16517A5D"/>
    <w:rsid w:val="167B0137"/>
    <w:rsid w:val="167F6050"/>
    <w:rsid w:val="168019EC"/>
    <w:rsid w:val="16890469"/>
    <w:rsid w:val="169107D3"/>
    <w:rsid w:val="169C588E"/>
    <w:rsid w:val="16A23BD8"/>
    <w:rsid w:val="16C02B7B"/>
    <w:rsid w:val="16D510A6"/>
    <w:rsid w:val="16E83C32"/>
    <w:rsid w:val="16F8689A"/>
    <w:rsid w:val="1706633F"/>
    <w:rsid w:val="17101F77"/>
    <w:rsid w:val="17145B5D"/>
    <w:rsid w:val="172B135D"/>
    <w:rsid w:val="173C4B1A"/>
    <w:rsid w:val="17410B57"/>
    <w:rsid w:val="17424826"/>
    <w:rsid w:val="175D6917"/>
    <w:rsid w:val="17773DA4"/>
    <w:rsid w:val="178A1933"/>
    <w:rsid w:val="17A0154D"/>
    <w:rsid w:val="17A80401"/>
    <w:rsid w:val="17B631B8"/>
    <w:rsid w:val="17BC5747"/>
    <w:rsid w:val="17BE5517"/>
    <w:rsid w:val="17E05DED"/>
    <w:rsid w:val="17E171CE"/>
    <w:rsid w:val="17EB133D"/>
    <w:rsid w:val="17F34CB4"/>
    <w:rsid w:val="180B17EE"/>
    <w:rsid w:val="1816671D"/>
    <w:rsid w:val="184E520B"/>
    <w:rsid w:val="18530AA8"/>
    <w:rsid w:val="18535013"/>
    <w:rsid w:val="18535AA3"/>
    <w:rsid w:val="1864257A"/>
    <w:rsid w:val="18647C7D"/>
    <w:rsid w:val="186F3903"/>
    <w:rsid w:val="18AA2CA7"/>
    <w:rsid w:val="18F0085F"/>
    <w:rsid w:val="19202945"/>
    <w:rsid w:val="19327EEF"/>
    <w:rsid w:val="194B4EAD"/>
    <w:rsid w:val="194D2CE1"/>
    <w:rsid w:val="194E3A44"/>
    <w:rsid w:val="196273EC"/>
    <w:rsid w:val="19A406B7"/>
    <w:rsid w:val="19AF5B04"/>
    <w:rsid w:val="19B267C8"/>
    <w:rsid w:val="19B47531"/>
    <w:rsid w:val="19C534ED"/>
    <w:rsid w:val="19C831D8"/>
    <w:rsid w:val="19D44993"/>
    <w:rsid w:val="19D57B31"/>
    <w:rsid w:val="19DA2643"/>
    <w:rsid w:val="19FA27BF"/>
    <w:rsid w:val="19FC3B8C"/>
    <w:rsid w:val="1A1678A4"/>
    <w:rsid w:val="1A1A6D4D"/>
    <w:rsid w:val="1A383FE3"/>
    <w:rsid w:val="1A6932A9"/>
    <w:rsid w:val="1A705206"/>
    <w:rsid w:val="1A757D6D"/>
    <w:rsid w:val="1A7B1DFD"/>
    <w:rsid w:val="1A82318C"/>
    <w:rsid w:val="1A9321AD"/>
    <w:rsid w:val="1AAB787A"/>
    <w:rsid w:val="1AAE46BE"/>
    <w:rsid w:val="1AAF08A4"/>
    <w:rsid w:val="1AB5423B"/>
    <w:rsid w:val="1AB64489"/>
    <w:rsid w:val="1AC04CF2"/>
    <w:rsid w:val="1AEC0F44"/>
    <w:rsid w:val="1AF851FC"/>
    <w:rsid w:val="1B135298"/>
    <w:rsid w:val="1B302BE8"/>
    <w:rsid w:val="1B341875"/>
    <w:rsid w:val="1B3B21F7"/>
    <w:rsid w:val="1B5302B4"/>
    <w:rsid w:val="1B7032B1"/>
    <w:rsid w:val="1B77658C"/>
    <w:rsid w:val="1B7B0492"/>
    <w:rsid w:val="1B8A002B"/>
    <w:rsid w:val="1B8D1DE8"/>
    <w:rsid w:val="1B8F5B60"/>
    <w:rsid w:val="1B994CB9"/>
    <w:rsid w:val="1BA15893"/>
    <w:rsid w:val="1BBB2B69"/>
    <w:rsid w:val="1BC11A92"/>
    <w:rsid w:val="1BCA47C6"/>
    <w:rsid w:val="1BD14CC5"/>
    <w:rsid w:val="1BD619E1"/>
    <w:rsid w:val="1BF46D94"/>
    <w:rsid w:val="1C0876C1"/>
    <w:rsid w:val="1C0903D0"/>
    <w:rsid w:val="1C13053F"/>
    <w:rsid w:val="1C176F9D"/>
    <w:rsid w:val="1C274BD2"/>
    <w:rsid w:val="1C347523"/>
    <w:rsid w:val="1C4A7CD9"/>
    <w:rsid w:val="1C595E22"/>
    <w:rsid w:val="1C6A3ED7"/>
    <w:rsid w:val="1C7A236C"/>
    <w:rsid w:val="1C93342E"/>
    <w:rsid w:val="1C940F54"/>
    <w:rsid w:val="1CA20AED"/>
    <w:rsid w:val="1CAD7C53"/>
    <w:rsid w:val="1CC964B9"/>
    <w:rsid w:val="1CDB049A"/>
    <w:rsid w:val="1CDE5522"/>
    <w:rsid w:val="1CE123EB"/>
    <w:rsid w:val="1D036806"/>
    <w:rsid w:val="1D0600A4"/>
    <w:rsid w:val="1D272B3B"/>
    <w:rsid w:val="1D4961E3"/>
    <w:rsid w:val="1D4A647E"/>
    <w:rsid w:val="1D522FB6"/>
    <w:rsid w:val="1D554B87"/>
    <w:rsid w:val="1D596426"/>
    <w:rsid w:val="1D5C0893"/>
    <w:rsid w:val="1D5C7B62"/>
    <w:rsid w:val="1D632254"/>
    <w:rsid w:val="1D756938"/>
    <w:rsid w:val="1D76400B"/>
    <w:rsid w:val="1D7768AC"/>
    <w:rsid w:val="1D7C3ECC"/>
    <w:rsid w:val="1D81597C"/>
    <w:rsid w:val="1D9A5FD7"/>
    <w:rsid w:val="1DB071CC"/>
    <w:rsid w:val="1DBA49EB"/>
    <w:rsid w:val="1DD261D8"/>
    <w:rsid w:val="1DD55EB7"/>
    <w:rsid w:val="1DE303E5"/>
    <w:rsid w:val="1DEE1F56"/>
    <w:rsid w:val="1E0F3864"/>
    <w:rsid w:val="1E124827"/>
    <w:rsid w:val="1E1B44E3"/>
    <w:rsid w:val="1E1D56A5"/>
    <w:rsid w:val="1E2C3B3A"/>
    <w:rsid w:val="1E2E20E9"/>
    <w:rsid w:val="1E370FCB"/>
    <w:rsid w:val="1E403142"/>
    <w:rsid w:val="1E763007"/>
    <w:rsid w:val="1E8079E2"/>
    <w:rsid w:val="1E807F65"/>
    <w:rsid w:val="1E8A260F"/>
    <w:rsid w:val="1E9F44E3"/>
    <w:rsid w:val="1EB267A4"/>
    <w:rsid w:val="1ECE381A"/>
    <w:rsid w:val="1ECF44C6"/>
    <w:rsid w:val="1ED06619"/>
    <w:rsid w:val="1EDC730E"/>
    <w:rsid w:val="1EE760D0"/>
    <w:rsid w:val="1EEF0C12"/>
    <w:rsid w:val="1EF53F2C"/>
    <w:rsid w:val="1F42032A"/>
    <w:rsid w:val="1F5A6485"/>
    <w:rsid w:val="1F6E1F30"/>
    <w:rsid w:val="1F763715"/>
    <w:rsid w:val="1F784E52"/>
    <w:rsid w:val="1F7C04E2"/>
    <w:rsid w:val="1F950A5B"/>
    <w:rsid w:val="1F986AD6"/>
    <w:rsid w:val="1FB931AC"/>
    <w:rsid w:val="1FD91DCB"/>
    <w:rsid w:val="1FFA6590"/>
    <w:rsid w:val="202B1BD0"/>
    <w:rsid w:val="20315B77"/>
    <w:rsid w:val="20500D6F"/>
    <w:rsid w:val="20570CDA"/>
    <w:rsid w:val="20570E97"/>
    <w:rsid w:val="206A6613"/>
    <w:rsid w:val="20765541"/>
    <w:rsid w:val="2084144E"/>
    <w:rsid w:val="209410DD"/>
    <w:rsid w:val="20AA343C"/>
    <w:rsid w:val="20AA7714"/>
    <w:rsid w:val="20D05BD6"/>
    <w:rsid w:val="20D910B4"/>
    <w:rsid w:val="20F02CD0"/>
    <w:rsid w:val="20FB1FC3"/>
    <w:rsid w:val="211B6BCD"/>
    <w:rsid w:val="212F1A47"/>
    <w:rsid w:val="21320BCC"/>
    <w:rsid w:val="2141090E"/>
    <w:rsid w:val="21471014"/>
    <w:rsid w:val="214E36DF"/>
    <w:rsid w:val="21690C01"/>
    <w:rsid w:val="217250DE"/>
    <w:rsid w:val="217C34BB"/>
    <w:rsid w:val="21C576BF"/>
    <w:rsid w:val="21D93348"/>
    <w:rsid w:val="21DA38AD"/>
    <w:rsid w:val="21E44842"/>
    <w:rsid w:val="21F15873"/>
    <w:rsid w:val="21FD6D12"/>
    <w:rsid w:val="220C1DC1"/>
    <w:rsid w:val="22162B37"/>
    <w:rsid w:val="221D3938"/>
    <w:rsid w:val="2228724C"/>
    <w:rsid w:val="223956A8"/>
    <w:rsid w:val="22526E91"/>
    <w:rsid w:val="22585DB1"/>
    <w:rsid w:val="22602004"/>
    <w:rsid w:val="22775E50"/>
    <w:rsid w:val="227E18D1"/>
    <w:rsid w:val="228757E3"/>
    <w:rsid w:val="22941CAE"/>
    <w:rsid w:val="22A03C18"/>
    <w:rsid w:val="22A641BD"/>
    <w:rsid w:val="22B20386"/>
    <w:rsid w:val="22BB4AAE"/>
    <w:rsid w:val="22BD1205"/>
    <w:rsid w:val="22C21C90"/>
    <w:rsid w:val="22D07733"/>
    <w:rsid w:val="22D44F5E"/>
    <w:rsid w:val="22DB6DED"/>
    <w:rsid w:val="22FC5D0C"/>
    <w:rsid w:val="231A1D4C"/>
    <w:rsid w:val="231F3C6E"/>
    <w:rsid w:val="23272F9C"/>
    <w:rsid w:val="232A70A7"/>
    <w:rsid w:val="233C49C2"/>
    <w:rsid w:val="23563407"/>
    <w:rsid w:val="23616A64"/>
    <w:rsid w:val="2366189C"/>
    <w:rsid w:val="2369313B"/>
    <w:rsid w:val="236B51E7"/>
    <w:rsid w:val="236C6682"/>
    <w:rsid w:val="236D6F12"/>
    <w:rsid w:val="236E575A"/>
    <w:rsid w:val="23877F63"/>
    <w:rsid w:val="23891ADE"/>
    <w:rsid w:val="2389558B"/>
    <w:rsid w:val="239166DC"/>
    <w:rsid w:val="23953EC0"/>
    <w:rsid w:val="23BE3486"/>
    <w:rsid w:val="23CA0C85"/>
    <w:rsid w:val="23D762F6"/>
    <w:rsid w:val="23D91A4E"/>
    <w:rsid w:val="23EA0172"/>
    <w:rsid w:val="23FD6D22"/>
    <w:rsid w:val="242C6959"/>
    <w:rsid w:val="2436304C"/>
    <w:rsid w:val="2436379E"/>
    <w:rsid w:val="243A0633"/>
    <w:rsid w:val="24424EF2"/>
    <w:rsid w:val="2452583B"/>
    <w:rsid w:val="24617079"/>
    <w:rsid w:val="24763D61"/>
    <w:rsid w:val="24836794"/>
    <w:rsid w:val="24877D1C"/>
    <w:rsid w:val="24B51CA0"/>
    <w:rsid w:val="24C42846"/>
    <w:rsid w:val="24D62A45"/>
    <w:rsid w:val="250A44A9"/>
    <w:rsid w:val="250E1156"/>
    <w:rsid w:val="252F022F"/>
    <w:rsid w:val="25400AE8"/>
    <w:rsid w:val="2547000C"/>
    <w:rsid w:val="255A7037"/>
    <w:rsid w:val="256040C9"/>
    <w:rsid w:val="25620369"/>
    <w:rsid w:val="259A582D"/>
    <w:rsid w:val="259D3570"/>
    <w:rsid w:val="25A54AAA"/>
    <w:rsid w:val="25B90E36"/>
    <w:rsid w:val="25B9652D"/>
    <w:rsid w:val="25BC1C48"/>
    <w:rsid w:val="25BF7042"/>
    <w:rsid w:val="25C96161"/>
    <w:rsid w:val="25CE64CD"/>
    <w:rsid w:val="25D01FFA"/>
    <w:rsid w:val="25D1078D"/>
    <w:rsid w:val="26003694"/>
    <w:rsid w:val="260158AC"/>
    <w:rsid w:val="2609650F"/>
    <w:rsid w:val="262A5555"/>
    <w:rsid w:val="265C0C73"/>
    <w:rsid w:val="266C3081"/>
    <w:rsid w:val="267E0CAB"/>
    <w:rsid w:val="268F2EB8"/>
    <w:rsid w:val="26905214"/>
    <w:rsid w:val="26924756"/>
    <w:rsid w:val="269A57D8"/>
    <w:rsid w:val="269F0C21"/>
    <w:rsid w:val="26A10B86"/>
    <w:rsid w:val="26AC3A6A"/>
    <w:rsid w:val="26BD740E"/>
    <w:rsid w:val="26C557C5"/>
    <w:rsid w:val="26DC7342"/>
    <w:rsid w:val="26E33204"/>
    <w:rsid w:val="26E56F14"/>
    <w:rsid w:val="26FC46AD"/>
    <w:rsid w:val="27283403"/>
    <w:rsid w:val="273E668C"/>
    <w:rsid w:val="27436AA7"/>
    <w:rsid w:val="27511203"/>
    <w:rsid w:val="275E4568"/>
    <w:rsid w:val="279A7908"/>
    <w:rsid w:val="27BA21B7"/>
    <w:rsid w:val="27D13797"/>
    <w:rsid w:val="27E51669"/>
    <w:rsid w:val="281318C7"/>
    <w:rsid w:val="28196E66"/>
    <w:rsid w:val="28235FAE"/>
    <w:rsid w:val="2826784C"/>
    <w:rsid w:val="282D565F"/>
    <w:rsid w:val="283A70C7"/>
    <w:rsid w:val="283C3A24"/>
    <w:rsid w:val="285136D0"/>
    <w:rsid w:val="288466BD"/>
    <w:rsid w:val="28860007"/>
    <w:rsid w:val="288E0C8B"/>
    <w:rsid w:val="28A33612"/>
    <w:rsid w:val="28AD3C8D"/>
    <w:rsid w:val="28BE5ECE"/>
    <w:rsid w:val="28D531E6"/>
    <w:rsid w:val="28E842D2"/>
    <w:rsid w:val="28F57FB9"/>
    <w:rsid w:val="28FE11C9"/>
    <w:rsid w:val="292A7962"/>
    <w:rsid w:val="293A028D"/>
    <w:rsid w:val="293A3B4E"/>
    <w:rsid w:val="293C6A87"/>
    <w:rsid w:val="295E4DA1"/>
    <w:rsid w:val="296D312A"/>
    <w:rsid w:val="29787C34"/>
    <w:rsid w:val="298C2D07"/>
    <w:rsid w:val="299A2E43"/>
    <w:rsid w:val="29A34649"/>
    <w:rsid w:val="29BB5D72"/>
    <w:rsid w:val="29C02D5D"/>
    <w:rsid w:val="29CB45D1"/>
    <w:rsid w:val="29DE206E"/>
    <w:rsid w:val="29E30F06"/>
    <w:rsid w:val="29F44AAC"/>
    <w:rsid w:val="29F4507E"/>
    <w:rsid w:val="2A3C3357"/>
    <w:rsid w:val="2A5070E0"/>
    <w:rsid w:val="2A5C6703"/>
    <w:rsid w:val="2A5D6D30"/>
    <w:rsid w:val="2A6671C1"/>
    <w:rsid w:val="2A9C3DF6"/>
    <w:rsid w:val="2A9C5BA4"/>
    <w:rsid w:val="2AA476D6"/>
    <w:rsid w:val="2AD6555A"/>
    <w:rsid w:val="2ADB3E9A"/>
    <w:rsid w:val="2B0C16DE"/>
    <w:rsid w:val="2B1200EA"/>
    <w:rsid w:val="2B1428E5"/>
    <w:rsid w:val="2B300496"/>
    <w:rsid w:val="2B322730"/>
    <w:rsid w:val="2B361B54"/>
    <w:rsid w:val="2B491DB4"/>
    <w:rsid w:val="2B693C9C"/>
    <w:rsid w:val="2B6C5576"/>
    <w:rsid w:val="2B6E2239"/>
    <w:rsid w:val="2BAB6B17"/>
    <w:rsid w:val="2BBC6C02"/>
    <w:rsid w:val="2BEC5733"/>
    <w:rsid w:val="2BF928EA"/>
    <w:rsid w:val="2C0643CF"/>
    <w:rsid w:val="2C2F02F7"/>
    <w:rsid w:val="2C30099F"/>
    <w:rsid w:val="2C376D1D"/>
    <w:rsid w:val="2C4209CD"/>
    <w:rsid w:val="2C5678C9"/>
    <w:rsid w:val="2C571253"/>
    <w:rsid w:val="2C6238C6"/>
    <w:rsid w:val="2C66290D"/>
    <w:rsid w:val="2C70553A"/>
    <w:rsid w:val="2C8C19A5"/>
    <w:rsid w:val="2CB371D5"/>
    <w:rsid w:val="2CBF7112"/>
    <w:rsid w:val="2CD86C3B"/>
    <w:rsid w:val="2CE25D7F"/>
    <w:rsid w:val="2D005180"/>
    <w:rsid w:val="2D1129C3"/>
    <w:rsid w:val="2D12039F"/>
    <w:rsid w:val="2D135A15"/>
    <w:rsid w:val="2D172D57"/>
    <w:rsid w:val="2D1A0010"/>
    <w:rsid w:val="2D2233D4"/>
    <w:rsid w:val="2D2F1D9E"/>
    <w:rsid w:val="2D524FED"/>
    <w:rsid w:val="2D5B7F98"/>
    <w:rsid w:val="2D621327"/>
    <w:rsid w:val="2D636E4D"/>
    <w:rsid w:val="2D6A2C05"/>
    <w:rsid w:val="2D713DE0"/>
    <w:rsid w:val="2D80355B"/>
    <w:rsid w:val="2D8A4364"/>
    <w:rsid w:val="2D9256AB"/>
    <w:rsid w:val="2DB405D2"/>
    <w:rsid w:val="2DC21E30"/>
    <w:rsid w:val="2DE33AEA"/>
    <w:rsid w:val="2DFB7942"/>
    <w:rsid w:val="2DFC04CA"/>
    <w:rsid w:val="2E11118F"/>
    <w:rsid w:val="2E193CE2"/>
    <w:rsid w:val="2E1E4B22"/>
    <w:rsid w:val="2E2465DC"/>
    <w:rsid w:val="2E426A62"/>
    <w:rsid w:val="2E4764E4"/>
    <w:rsid w:val="2E5073D1"/>
    <w:rsid w:val="2E56075F"/>
    <w:rsid w:val="2E5A0250"/>
    <w:rsid w:val="2E686D92"/>
    <w:rsid w:val="2E8D5F30"/>
    <w:rsid w:val="2E913BBA"/>
    <w:rsid w:val="2EA119DB"/>
    <w:rsid w:val="2EB72939"/>
    <w:rsid w:val="2EBC6626"/>
    <w:rsid w:val="2EF96879"/>
    <w:rsid w:val="2EFA73F8"/>
    <w:rsid w:val="2F0443EF"/>
    <w:rsid w:val="2F0B4022"/>
    <w:rsid w:val="2F1A353B"/>
    <w:rsid w:val="2F1E0F22"/>
    <w:rsid w:val="2F313E39"/>
    <w:rsid w:val="2F631386"/>
    <w:rsid w:val="2F67605F"/>
    <w:rsid w:val="2F6C35AB"/>
    <w:rsid w:val="2F832343"/>
    <w:rsid w:val="2F89718F"/>
    <w:rsid w:val="2FA07EE4"/>
    <w:rsid w:val="2FB92D54"/>
    <w:rsid w:val="2FBF380F"/>
    <w:rsid w:val="2FCA0BBC"/>
    <w:rsid w:val="2FCC55BC"/>
    <w:rsid w:val="2FD411EB"/>
    <w:rsid w:val="2FE43E9B"/>
    <w:rsid w:val="2FF80F0A"/>
    <w:rsid w:val="30155FE8"/>
    <w:rsid w:val="301625EE"/>
    <w:rsid w:val="302124D4"/>
    <w:rsid w:val="30231207"/>
    <w:rsid w:val="30314FFA"/>
    <w:rsid w:val="303348B4"/>
    <w:rsid w:val="303469BE"/>
    <w:rsid w:val="303D4A56"/>
    <w:rsid w:val="305A5800"/>
    <w:rsid w:val="30823A8E"/>
    <w:rsid w:val="308B5647"/>
    <w:rsid w:val="308B6A43"/>
    <w:rsid w:val="30A7252B"/>
    <w:rsid w:val="30AE03DF"/>
    <w:rsid w:val="30B55481"/>
    <w:rsid w:val="30C220DC"/>
    <w:rsid w:val="30C27720"/>
    <w:rsid w:val="30C75D28"/>
    <w:rsid w:val="30D57F31"/>
    <w:rsid w:val="30E532DD"/>
    <w:rsid w:val="30E6401D"/>
    <w:rsid w:val="30F11F43"/>
    <w:rsid w:val="31072AE9"/>
    <w:rsid w:val="312046F2"/>
    <w:rsid w:val="31245B1A"/>
    <w:rsid w:val="31291C17"/>
    <w:rsid w:val="314B0E46"/>
    <w:rsid w:val="314E07A0"/>
    <w:rsid w:val="316418F6"/>
    <w:rsid w:val="316E3AC4"/>
    <w:rsid w:val="317D6C3C"/>
    <w:rsid w:val="31B85B44"/>
    <w:rsid w:val="31BE15DD"/>
    <w:rsid w:val="31E43B66"/>
    <w:rsid w:val="32052280"/>
    <w:rsid w:val="320F325F"/>
    <w:rsid w:val="32130E41"/>
    <w:rsid w:val="32154C0C"/>
    <w:rsid w:val="322973DB"/>
    <w:rsid w:val="323112C7"/>
    <w:rsid w:val="323264A6"/>
    <w:rsid w:val="32383FE0"/>
    <w:rsid w:val="32803FFD"/>
    <w:rsid w:val="32936470"/>
    <w:rsid w:val="32AC3A63"/>
    <w:rsid w:val="32B617CD"/>
    <w:rsid w:val="32B95A35"/>
    <w:rsid w:val="32BE2AB2"/>
    <w:rsid w:val="32C75788"/>
    <w:rsid w:val="32DF2AD1"/>
    <w:rsid w:val="33195511"/>
    <w:rsid w:val="33574D5E"/>
    <w:rsid w:val="335E60ED"/>
    <w:rsid w:val="336D4581"/>
    <w:rsid w:val="33745360"/>
    <w:rsid w:val="33846CBF"/>
    <w:rsid w:val="338813BB"/>
    <w:rsid w:val="33906A29"/>
    <w:rsid w:val="33AB6E58"/>
    <w:rsid w:val="33B25639"/>
    <w:rsid w:val="33B82BEC"/>
    <w:rsid w:val="33DC1CD7"/>
    <w:rsid w:val="33E13A0E"/>
    <w:rsid w:val="33EA2050"/>
    <w:rsid w:val="33EE2C76"/>
    <w:rsid w:val="340842AA"/>
    <w:rsid w:val="3410014B"/>
    <w:rsid w:val="342033A2"/>
    <w:rsid w:val="343B4069"/>
    <w:rsid w:val="343F78BA"/>
    <w:rsid w:val="34543BA3"/>
    <w:rsid w:val="34655955"/>
    <w:rsid w:val="34715365"/>
    <w:rsid w:val="347F62B4"/>
    <w:rsid w:val="34B14EA3"/>
    <w:rsid w:val="34BA1A48"/>
    <w:rsid w:val="34BD4D58"/>
    <w:rsid w:val="34EB1C02"/>
    <w:rsid w:val="34F14D3E"/>
    <w:rsid w:val="34FF33CC"/>
    <w:rsid w:val="350834BB"/>
    <w:rsid w:val="350E3B42"/>
    <w:rsid w:val="35131158"/>
    <w:rsid w:val="35141C21"/>
    <w:rsid w:val="351A7555"/>
    <w:rsid w:val="35291494"/>
    <w:rsid w:val="3540003C"/>
    <w:rsid w:val="3543042F"/>
    <w:rsid w:val="355157DD"/>
    <w:rsid w:val="35614136"/>
    <w:rsid w:val="35637AB9"/>
    <w:rsid w:val="358B7B22"/>
    <w:rsid w:val="3599165E"/>
    <w:rsid w:val="35B50461"/>
    <w:rsid w:val="35B65197"/>
    <w:rsid w:val="35BA15D4"/>
    <w:rsid w:val="35E24C51"/>
    <w:rsid w:val="35E412A6"/>
    <w:rsid w:val="35F009B3"/>
    <w:rsid w:val="35F13DC3"/>
    <w:rsid w:val="35FF576A"/>
    <w:rsid w:val="36065D9C"/>
    <w:rsid w:val="36105698"/>
    <w:rsid w:val="361A7758"/>
    <w:rsid w:val="361C403D"/>
    <w:rsid w:val="364D41F6"/>
    <w:rsid w:val="36674C84"/>
    <w:rsid w:val="367A1DB1"/>
    <w:rsid w:val="367F7C50"/>
    <w:rsid w:val="36807D6E"/>
    <w:rsid w:val="36820D95"/>
    <w:rsid w:val="368645BD"/>
    <w:rsid w:val="36AA2A19"/>
    <w:rsid w:val="36B044BB"/>
    <w:rsid w:val="36B2214A"/>
    <w:rsid w:val="36D44917"/>
    <w:rsid w:val="36D831D1"/>
    <w:rsid w:val="36DE6408"/>
    <w:rsid w:val="36E3223E"/>
    <w:rsid w:val="36E51E07"/>
    <w:rsid w:val="36E668CE"/>
    <w:rsid w:val="36F0180D"/>
    <w:rsid w:val="36F22B3E"/>
    <w:rsid w:val="36FD5B15"/>
    <w:rsid w:val="37007CE7"/>
    <w:rsid w:val="371812F8"/>
    <w:rsid w:val="3720557E"/>
    <w:rsid w:val="372B4F5F"/>
    <w:rsid w:val="373C06F3"/>
    <w:rsid w:val="37512F39"/>
    <w:rsid w:val="37657A50"/>
    <w:rsid w:val="376823DC"/>
    <w:rsid w:val="378706BB"/>
    <w:rsid w:val="37A14A27"/>
    <w:rsid w:val="37BB4529"/>
    <w:rsid w:val="37C52275"/>
    <w:rsid w:val="37DD4FF7"/>
    <w:rsid w:val="37F304CA"/>
    <w:rsid w:val="37FE1C4C"/>
    <w:rsid w:val="38074093"/>
    <w:rsid w:val="380A6843"/>
    <w:rsid w:val="38183972"/>
    <w:rsid w:val="381E145A"/>
    <w:rsid w:val="38297455"/>
    <w:rsid w:val="38334291"/>
    <w:rsid w:val="386761AF"/>
    <w:rsid w:val="38693203"/>
    <w:rsid w:val="38760FE1"/>
    <w:rsid w:val="38A00F55"/>
    <w:rsid w:val="38AE04BE"/>
    <w:rsid w:val="38B13162"/>
    <w:rsid w:val="38B92049"/>
    <w:rsid w:val="38C76E77"/>
    <w:rsid w:val="38DB371E"/>
    <w:rsid w:val="38E26F5B"/>
    <w:rsid w:val="38EC3030"/>
    <w:rsid w:val="38F11738"/>
    <w:rsid w:val="38FF5781"/>
    <w:rsid w:val="392E798D"/>
    <w:rsid w:val="39361EA5"/>
    <w:rsid w:val="39455658"/>
    <w:rsid w:val="394D449F"/>
    <w:rsid w:val="39721508"/>
    <w:rsid w:val="39893E97"/>
    <w:rsid w:val="39916AF0"/>
    <w:rsid w:val="399D7242"/>
    <w:rsid w:val="39A75A46"/>
    <w:rsid w:val="39AD25E7"/>
    <w:rsid w:val="39AD5174"/>
    <w:rsid w:val="39BD13BD"/>
    <w:rsid w:val="39D01172"/>
    <w:rsid w:val="39D266EA"/>
    <w:rsid w:val="39EB4452"/>
    <w:rsid w:val="39F016A8"/>
    <w:rsid w:val="39F03816"/>
    <w:rsid w:val="39F07CBA"/>
    <w:rsid w:val="3A0B1439"/>
    <w:rsid w:val="3A156479"/>
    <w:rsid w:val="3A176FF5"/>
    <w:rsid w:val="3A1C7076"/>
    <w:rsid w:val="3A2B0CF2"/>
    <w:rsid w:val="3A327071"/>
    <w:rsid w:val="3A4132B8"/>
    <w:rsid w:val="3A7D4CA9"/>
    <w:rsid w:val="3AA90A77"/>
    <w:rsid w:val="3AAB3559"/>
    <w:rsid w:val="3AAE3BB2"/>
    <w:rsid w:val="3AB82566"/>
    <w:rsid w:val="3ABD6917"/>
    <w:rsid w:val="3ACF5449"/>
    <w:rsid w:val="3AD178A6"/>
    <w:rsid w:val="3AED3F31"/>
    <w:rsid w:val="3AEF12CB"/>
    <w:rsid w:val="3AF7106E"/>
    <w:rsid w:val="3B0D6F01"/>
    <w:rsid w:val="3B181F33"/>
    <w:rsid w:val="3B253993"/>
    <w:rsid w:val="3B4E0B4F"/>
    <w:rsid w:val="3B6224F2"/>
    <w:rsid w:val="3B6F4C0F"/>
    <w:rsid w:val="3B776F92"/>
    <w:rsid w:val="3B871CDE"/>
    <w:rsid w:val="3BA36ECC"/>
    <w:rsid w:val="3BAE1209"/>
    <w:rsid w:val="3BB32D4D"/>
    <w:rsid w:val="3BC526AB"/>
    <w:rsid w:val="3BF21AC7"/>
    <w:rsid w:val="3C095C93"/>
    <w:rsid w:val="3C1919E5"/>
    <w:rsid w:val="3C264B8D"/>
    <w:rsid w:val="3C2C3893"/>
    <w:rsid w:val="3C31356B"/>
    <w:rsid w:val="3C3250EF"/>
    <w:rsid w:val="3C343766"/>
    <w:rsid w:val="3C346812"/>
    <w:rsid w:val="3C3A2A84"/>
    <w:rsid w:val="3C4D4F50"/>
    <w:rsid w:val="3C502B0A"/>
    <w:rsid w:val="3C5C6A49"/>
    <w:rsid w:val="3C6C6E18"/>
    <w:rsid w:val="3C7A0E64"/>
    <w:rsid w:val="3C8A1488"/>
    <w:rsid w:val="3CA65DAF"/>
    <w:rsid w:val="3CB7686D"/>
    <w:rsid w:val="3CDA0BC3"/>
    <w:rsid w:val="3CE34D22"/>
    <w:rsid w:val="3CF732D7"/>
    <w:rsid w:val="3CF95A4D"/>
    <w:rsid w:val="3D0C4025"/>
    <w:rsid w:val="3D1B66CA"/>
    <w:rsid w:val="3D1E4B3E"/>
    <w:rsid w:val="3D2D3108"/>
    <w:rsid w:val="3D3F0282"/>
    <w:rsid w:val="3D430101"/>
    <w:rsid w:val="3D467E6D"/>
    <w:rsid w:val="3D7675E7"/>
    <w:rsid w:val="3D84689E"/>
    <w:rsid w:val="3D9D2651"/>
    <w:rsid w:val="3DAE5EC8"/>
    <w:rsid w:val="3DB775B8"/>
    <w:rsid w:val="3DB919A7"/>
    <w:rsid w:val="3DBF3C2B"/>
    <w:rsid w:val="3DC05759"/>
    <w:rsid w:val="3DCC3D4E"/>
    <w:rsid w:val="3DDD1C8A"/>
    <w:rsid w:val="3DF25861"/>
    <w:rsid w:val="3E0F54D5"/>
    <w:rsid w:val="3E154A9B"/>
    <w:rsid w:val="3E1D4DF6"/>
    <w:rsid w:val="3E456D30"/>
    <w:rsid w:val="3E584838"/>
    <w:rsid w:val="3E5C591E"/>
    <w:rsid w:val="3E682515"/>
    <w:rsid w:val="3E9D1BFF"/>
    <w:rsid w:val="3EBC7947"/>
    <w:rsid w:val="3EC409D2"/>
    <w:rsid w:val="3ECA5250"/>
    <w:rsid w:val="3ED23BBF"/>
    <w:rsid w:val="3ED34C31"/>
    <w:rsid w:val="3EEC6CA2"/>
    <w:rsid w:val="3F0A5671"/>
    <w:rsid w:val="3F1E0E25"/>
    <w:rsid w:val="3F3A3A46"/>
    <w:rsid w:val="3F3B445E"/>
    <w:rsid w:val="3F3B4C83"/>
    <w:rsid w:val="3F531E39"/>
    <w:rsid w:val="3F5465F5"/>
    <w:rsid w:val="3F743A67"/>
    <w:rsid w:val="3F8473F6"/>
    <w:rsid w:val="3F8E28E2"/>
    <w:rsid w:val="3F9B5166"/>
    <w:rsid w:val="3FA47CAB"/>
    <w:rsid w:val="3FA93F0D"/>
    <w:rsid w:val="3FC4598E"/>
    <w:rsid w:val="3FE72266"/>
    <w:rsid w:val="3FFC5E60"/>
    <w:rsid w:val="4012098A"/>
    <w:rsid w:val="401364B0"/>
    <w:rsid w:val="4024421A"/>
    <w:rsid w:val="40380FC1"/>
    <w:rsid w:val="406321D3"/>
    <w:rsid w:val="407A0062"/>
    <w:rsid w:val="40862F5F"/>
    <w:rsid w:val="40994C08"/>
    <w:rsid w:val="40A872A2"/>
    <w:rsid w:val="40AA12E3"/>
    <w:rsid w:val="40CC4EA1"/>
    <w:rsid w:val="40D20009"/>
    <w:rsid w:val="40D24132"/>
    <w:rsid w:val="40FE6422"/>
    <w:rsid w:val="41110C42"/>
    <w:rsid w:val="411B747C"/>
    <w:rsid w:val="41202C33"/>
    <w:rsid w:val="412650CC"/>
    <w:rsid w:val="412843D8"/>
    <w:rsid w:val="412C25E4"/>
    <w:rsid w:val="414A7CB0"/>
    <w:rsid w:val="414B6DDB"/>
    <w:rsid w:val="416D1BF0"/>
    <w:rsid w:val="418F6D56"/>
    <w:rsid w:val="419C7ECA"/>
    <w:rsid w:val="41A47695"/>
    <w:rsid w:val="41B51A07"/>
    <w:rsid w:val="41C137AF"/>
    <w:rsid w:val="41D3007A"/>
    <w:rsid w:val="41DB30E4"/>
    <w:rsid w:val="41E5540C"/>
    <w:rsid w:val="41E91D29"/>
    <w:rsid w:val="41EC0D67"/>
    <w:rsid w:val="41EE5870"/>
    <w:rsid w:val="41EF0AE7"/>
    <w:rsid w:val="41F93484"/>
    <w:rsid w:val="420378EC"/>
    <w:rsid w:val="42060F8D"/>
    <w:rsid w:val="421C22DF"/>
    <w:rsid w:val="421F5B80"/>
    <w:rsid w:val="42324DA6"/>
    <w:rsid w:val="423426B2"/>
    <w:rsid w:val="42472441"/>
    <w:rsid w:val="42671CB3"/>
    <w:rsid w:val="427B6D95"/>
    <w:rsid w:val="42A47894"/>
    <w:rsid w:val="42BF7657"/>
    <w:rsid w:val="42CF2B62"/>
    <w:rsid w:val="42D53EF1"/>
    <w:rsid w:val="42EC57C8"/>
    <w:rsid w:val="42F275C9"/>
    <w:rsid w:val="42FB439E"/>
    <w:rsid w:val="43006FB0"/>
    <w:rsid w:val="43040332"/>
    <w:rsid w:val="430420E0"/>
    <w:rsid w:val="43086074"/>
    <w:rsid w:val="43100A85"/>
    <w:rsid w:val="432A400D"/>
    <w:rsid w:val="432E02EC"/>
    <w:rsid w:val="43394480"/>
    <w:rsid w:val="43500A6D"/>
    <w:rsid w:val="435B0E82"/>
    <w:rsid w:val="435B55A5"/>
    <w:rsid w:val="437D25BE"/>
    <w:rsid w:val="43812C93"/>
    <w:rsid w:val="4385326F"/>
    <w:rsid w:val="438F5E4E"/>
    <w:rsid w:val="4395777E"/>
    <w:rsid w:val="43A0005B"/>
    <w:rsid w:val="43BC366F"/>
    <w:rsid w:val="43C95E9E"/>
    <w:rsid w:val="44022A23"/>
    <w:rsid w:val="440B751A"/>
    <w:rsid w:val="441522C1"/>
    <w:rsid w:val="44323CB9"/>
    <w:rsid w:val="44354C47"/>
    <w:rsid w:val="44385EF5"/>
    <w:rsid w:val="443B5FD6"/>
    <w:rsid w:val="44703ED1"/>
    <w:rsid w:val="4491706A"/>
    <w:rsid w:val="44A66F1C"/>
    <w:rsid w:val="44B33DBE"/>
    <w:rsid w:val="44BF2B01"/>
    <w:rsid w:val="44E52C25"/>
    <w:rsid w:val="44E678A3"/>
    <w:rsid w:val="44EF214B"/>
    <w:rsid w:val="44FC3010"/>
    <w:rsid w:val="45016925"/>
    <w:rsid w:val="4510761C"/>
    <w:rsid w:val="45291C51"/>
    <w:rsid w:val="452939E9"/>
    <w:rsid w:val="452A5A2F"/>
    <w:rsid w:val="452C3BB0"/>
    <w:rsid w:val="453B004E"/>
    <w:rsid w:val="4545710C"/>
    <w:rsid w:val="455235D7"/>
    <w:rsid w:val="4553458D"/>
    <w:rsid w:val="45573877"/>
    <w:rsid w:val="45581A0F"/>
    <w:rsid w:val="4558701D"/>
    <w:rsid w:val="4565155C"/>
    <w:rsid w:val="45682AF0"/>
    <w:rsid w:val="45726B02"/>
    <w:rsid w:val="45833790"/>
    <w:rsid w:val="45CF7EBB"/>
    <w:rsid w:val="45E8246E"/>
    <w:rsid w:val="45E93D89"/>
    <w:rsid w:val="4621756C"/>
    <w:rsid w:val="462813AD"/>
    <w:rsid w:val="462F1B6A"/>
    <w:rsid w:val="464E5E37"/>
    <w:rsid w:val="4651388E"/>
    <w:rsid w:val="46584C60"/>
    <w:rsid w:val="46625248"/>
    <w:rsid w:val="46716165"/>
    <w:rsid w:val="46763D4F"/>
    <w:rsid w:val="46844F52"/>
    <w:rsid w:val="46853D29"/>
    <w:rsid w:val="469C1706"/>
    <w:rsid w:val="46A20454"/>
    <w:rsid w:val="46A27E61"/>
    <w:rsid w:val="46A77952"/>
    <w:rsid w:val="46B1257F"/>
    <w:rsid w:val="46B226AF"/>
    <w:rsid w:val="46C87FF5"/>
    <w:rsid w:val="46D142F1"/>
    <w:rsid w:val="46E36784"/>
    <w:rsid w:val="46F43C34"/>
    <w:rsid w:val="470679A9"/>
    <w:rsid w:val="47157F67"/>
    <w:rsid w:val="4719740A"/>
    <w:rsid w:val="472869E3"/>
    <w:rsid w:val="47347C1D"/>
    <w:rsid w:val="47504163"/>
    <w:rsid w:val="47523D62"/>
    <w:rsid w:val="47537F18"/>
    <w:rsid w:val="4755115C"/>
    <w:rsid w:val="47551BE8"/>
    <w:rsid w:val="4757310E"/>
    <w:rsid w:val="477041E8"/>
    <w:rsid w:val="477E22F4"/>
    <w:rsid w:val="47881532"/>
    <w:rsid w:val="47AA14A8"/>
    <w:rsid w:val="47AB55D7"/>
    <w:rsid w:val="47C438D0"/>
    <w:rsid w:val="47C84024"/>
    <w:rsid w:val="47CC7B94"/>
    <w:rsid w:val="47FE2089"/>
    <w:rsid w:val="480967DD"/>
    <w:rsid w:val="48147089"/>
    <w:rsid w:val="4820033B"/>
    <w:rsid w:val="48242B78"/>
    <w:rsid w:val="482F19AD"/>
    <w:rsid w:val="483548FA"/>
    <w:rsid w:val="483B0352"/>
    <w:rsid w:val="483F7BF0"/>
    <w:rsid w:val="484E298E"/>
    <w:rsid w:val="48582D1F"/>
    <w:rsid w:val="4860425D"/>
    <w:rsid w:val="48927B80"/>
    <w:rsid w:val="48A072ED"/>
    <w:rsid w:val="48A26E0C"/>
    <w:rsid w:val="48AB4E3D"/>
    <w:rsid w:val="48BF5427"/>
    <w:rsid w:val="48C37705"/>
    <w:rsid w:val="48C47A30"/>
    <w:rsid w:val="48C72033"/>
    <w:rsid w:val="48C9230F"/>
    <w:rsid w:val="48D02F1F"/>
    <w:rsid w:val="48DF33D4"/>
    <w:rsid w:val="48FE2608"/>
    <w:rsid w:val="491C63D6"/>
    <w:rsid w:val="49227764"/>
    <w:rsid w:val="492416B6"/>
    <w:rsid w:val="49301E81"/>
    <w:rsid w:val="494003BA"/>
    <w:rsid w:val="494D67E4"/>
    <w:rsid w:val="496B29F1"/>
    <w:rsid w:val="496D6C31"/>
    <w:rsid w:val="49735095"/>
    <w:rsid w:val="498126DD"/>
    <w:rsid w:val="49816239"/>
    <w:rsid w:val="49850337"/>
    <w:rsid w:val="49920446"/>
    <w:rsid w:val="499A74D2"/>
    <w:rsid w:val="49A06E45"/>
    <w:rsid w:val="49A60395"/>
    <w:rsid w:val="49A719C4"/>
    <w:rsid w:val="49AC0501"/>
    <w:rsid w:val="49AF0FF8"/>
    <w:rsid w:val="49B93101"/>
    <w:rsid w:val="49BA174B"/>
    <w:rsid w:val="49BF5C6E"/>
    <w:rsid w:val="49C64593"/>
    <w:rsid w:val="49CD4B1D"/>
    <w:rsid w:val="49CD5922"/>
    <w:rsid w:val="49E078A0"/>
    <w:rsid w:val="49E520E1"/>
    <w:rsid w:val="4A0656A1"/>
    <w:rsid w:val="4A0D6300"/>
    <w:rsid w:val="4A160D83"/>
    <w:rsid w:val="4A2E6CB0"/>
    <w:rsid w:val="4A673681"/>
    <w:rsid w:val="4A6E36E4"/>
    <w:rsid w:val="4A7F49E0"/>
    <w:rsid w:val="4A835FE1"/>
    <w:rsid w:val="4AB35768"/>
    <w:rsid w:val="4ABC3301"/>
    <w:rsid w:val="4ACF1226"/>
    <w:rsid w:val="4AE866C2"/>
    <w:rsid w:val="4B100CB1"/>
    <w:rsid w:val="4B1A070D"/>
    <w:rsid w:val="4B2D4F13"/>
    <w:rsid w:val="4B307FF0"/>
    <w:rsid w:val="4B310E2D"/>
    <w:rsid w:val="4B475260"/>
    <w:rsid w:val="4B5C7A98"/>
    <w:rsid w:val="4B6B346B"/>
    <w:rsid w:val="4B7E1B67"/>
    <w:rsid w:val="4B91641F"/>
    <w:rsid w:val="4B950DE0"/>
    <w:rsid w:val="4B9573D1"/>
    <w:rsid w:val="4B9E0D7D"/>
    <w:rsid w:val="4BAC2403"/>
    <w:rsid w:val="4BAC4B8D"/>
    <w:rsid w:val="4BAE15C0"/>
    <w:rsid w:val="4BBF129A"/>
    <w:rsid w:val="4BBF6DB9"/>
    <w:rsid w:val="4BD623FF"/>
    <w:rsid w:val="4BDC3BFA"/>
    <w:rsid w:val="4BE6574D"/>
    <w:rsid w:val="4BEC33AC"/>
    <w:rsid w:val="4BFB6D6C"/>
    <w:rsid w:val="4BFC24EE"/>
    <w:rsid w:val="4C0B2CAF"/>
    <w:rsid w:val="4C1866D1"/>
    <w:rsid w:val="4C207F8B"/>
    <w:rsid w:val="4C294B55"/>
    <w:rsid w:val="4C303908"/>
    <w:rsid w:val="4C341C88"/>
    <w:rsid w:val="4C417F01"/>
    <w:rsid w:val="4C441FDC"/>
    <w:rsid w:val="4C4A5FC2"/>
    <w:rsid w:val="4C5B623E"/>
    <w:rsid w:val="4C60482B"/>
    <w:rsid w:val="4C6220B8"/>
    <w:rsid w:val="4C787DC7"/>
    <w:rsid w:val="4C82005A"/>
    <w:rsid w:val="4C8A2CEC"/>
    <w:rsid w:val="4CB86415"/>
    <w:rsid w:val="4CBF75C2"/>
    <w:rsid w:val="4CD87DD5"/>
    <w:rsid w:val="4CF96EAD"/>
    <w:rsid w:val="4D085AC6"/>
    <w:rsid w:val="4D0C49B3"/>
    <w:rsid w:val="4D0F2A47"/>
    <w:rsid w:val="4D1A2C2C"/>
    <w:rsid w:val="4D20220D"/>
    <w:rsid w:val="4D2A124B"/>
    <w:rsid w:val="4D3231FF"/>
    <w:rsid w:val="4D3278F7"/>
    <w:rsid w:val="4D413865"/>
    <w:rsid w:val="4D446090"/>
    <w:rsid w:val="4D5F12C0"/>
    <w:rsid w:val="4D5F33C6"/>
    <w:rsid w:val="4D655517"/>
    <w:rsid w:val="4D721EA3"/>
    <w:rsid w:val="4D884360"/>
    <w:rsid w:val="4D9E1AB5"/>
    <w:rsid w:val="4DAB5804"/>
    <w:rsid w:val="4DB80F77"/>
    <w:rsid w:val="4DB917A5"/>
    <w:rsid w:val="4DBA72D1"/>
    <w:rsid w:val="4DBB59E0"/>
    <w:rsid w:val="4DBE5CAD"/>
    <w:rsid w:val="4DF400B5"/>
    <w:rsid w:val="4DF6466A"/>
    <w:rsid w:val="4E01395D"/>
    <w:rsid w:val="4E1C6E78"/>
    <w:rsid w:val="4E217FEA"/>
    <w:rsid w:val="4E264AE0"/>
    <w:rsid w:val="4E836D7E"/>
    <w:rsid w:val="4E911619"/>
    <w:rsid w:val="4E9F6920"/>
    <w:rsid w:val="4EA0752B"/>
    <w:rsid w:val="4EAB5A92"/>
    <w:rsid w:val="4ECE6BA0"/>
    <w:rsid w:val="4EDD390B"/>
    <w:rsid w:val="4F1D754B"/>
    <w:rsid w:val="4F277882"/>
    <w:rsid w:val="4F4E1DEB"/>
    <w:rsid w:val="4F542EE9"/>
    <w:rsid w:val="4F565C64"/>
    <w:rsid w:val="4F585C8E"/>
    <w:rsid w:val="4F7E7F1B"/>
    <w:rsid w:val="4F892AE8"/>
    <w:rsid w:val="4F8E4E5D"/>
    <w:rsid w:val="4F9B593B"/>
    <w:rsid w:val="4F9E7922"/>
    <w:rsid w:val="4F9F1B0F"/>
    <w:rsid w:val="4FA40ED3"/>
    <w:rsid w:val="4FAC6AD7"/>
    <w:rsid w:val="4FC47426"/>
    <w:rsid w:val="4FD01CC8"/>
    <w:rsid w:val="4FD3719E"/>
    <w:rsid w:val="500D4CCA"/>
    <w:rsid w:val="501F0659"/>
    <w:rsid w:val="50205059"/>
    <w:rsid w:val="50447FC0"/>
    <w:rsid w:val="50481ABC"/>
    <w:rsid w:val="50554542"/>
    <w:rsid w:val="50612901"/>
    <w:rsid w:val="506700DB"/>
    <w:rsid w:val="507D7DFA"/>
    <w:rsid w:val="5099030C"/>
    <w:rsid w:val="50A13EEF"/>
    <w:rsid w:val="50A24D6A"/>
    <w:rsid w:val="50B04298"/>
    <w:rsid w:val="50C57DB2"/>
    <w:rsid w:val="50CA60D9"/>
    <w:rsid w:val="50CC4441"/>
    <w:rsid w:val="50CD10A1"/>
    <w:rsid w:val="50F266AC"/>
    <w:rsid w:val="50F6575E"/>
    <w:rsid w:val="51061F5B"/>
    <w:rsid w:val="512E6655"/>
    <w:rsid w:val="513349D1"/>
    <w:rsid w:val="513B7615"/>
    <w:rsid w:val="51563B0A"/>
    <w:rsid w:val="518D5214"/>
    <w:rsid w:val="519A7A59"/>
    <w:rsid w:val="51B15B29"/>
    <w:rsid w:val="51DE0D1D"/>
    <w:rsid w:val="51E02400"/>
    <w:rsid w:val="51E84F01"/>
    <w:rsid w:val="51EC090F"/>
    <w:rsid w:val="51F55CEF"/>
    <w:rsid w:val="520C066B"/>
    <w:rsid w:val="520E62FA"/>
    <w:rsid w:val="5220523B"/>
    <w:rsid w:val="522558D7"/>
    <w:rsid w:val="522A3A02"/>
    <w:rsid w:val="52354064"/>
    <w:rsid w:val="524E3A5E"/>
    <w:rsid w:val="52733D7F"/>
    <w:rsid w:val="527903F5"/>
    <w:rsid w:val="52840C05"/>
    <w:rsid w:val="5287305E"/>
    <w:rsid w:val="528C60B8"/>
    <w:rsid w:val="5292739E"/>
    <w:rsid w:val="529E42FF"/>
    <w:rsid w:val="52B70F1D"/>
    <w:rsid w:val="52BA0FF0"/>
    <w:rsid w:val="52BF7DD2"/>
    <w:rsid w:val="52D9353C"/>
    <w:rsid w:val="52E10049"/>
    <w:rsid w:val="5303695B"/>
    <w:rsid w:val="530879CB"/>
    <w:rsid w:val="530F3DA9"/>
    <w:rsid w:val="53156484"/>
    <w:rsid w:val="532F751D"/>
    <w:rsid w:val="5334128A"/>
    <w:rsid w:val="534B4ECC"/>
    <w:rsid w:val="534E2948"/>
    <w:rsid w:val="53566988"/>
    <w:rsid w:val="535D7A5C"/>
    <w:rsid w:val="53630000"/>
    <w:rsid w:val="536F35A6"/>
    <w:rsid w:val="53773A83"/>
    <w:rsid w:val="53A96AB8"/>
    <w:rsid w:val="53E63B03"/>
    <w:rsid w:val="53F91FE2"/>
    <w:rsid w:val="53FF1E34"/>
    <w:rsid w:val="54030903"/>
    <w:rsid w:val="54063F0A"/>
    <w:rsid w:val="5416230E"/>
    <w:rsid w:val="542328CE"/>
    <w:rsid w:val="54297BF9"/>
    <w:rsid w:val="54375424"/>
    <w:rsid w:val="543D76D0"/>
    <w:rsid w:val="544D1B39"/>
    <w:rsid w:val="545663A2"/>
    <w:rsid w:val="546F6672"/>
    <w:rsid w:val="54770F47"/>
    <w:rsid w:val="548C70C5"/>
    <w:rsid w:val="54A772FA"/>
    <w:rsid w:val="54AB4AB2"/>
    <w:rsid w:val="54AC548F"/>
    <w:rsid w:val="54BD12E7"/>
    <w:rsid w:val="54C35392"/>
    <w:rsid w:val="54C55B73"/>
    <w:rsid w:val="54D73556"/>
    <w:rsid w:val="54E56216"/>
    <w:rsid w:val="551157A3"/>
    <w:rsid w:val="55191A1B"/>
    <w:rsid w:val="5527238A"/>
    <w:rsid w:val="552C79A0"/>
    <w:rsid w:val="553179C1"/>
    <w:rsid w:val="5541237B"/>
    <w:rsid w:val="554F32C7"/>
    <w:rsid w:val="555B3FA7"/>
    <w:rsid w:val="556E7FB9"/>
    <w:rsid w:val="5589094B"/>
    <w:rsid w:val="558B219B"/>
    <w:rsid w:val="558D0F16"/>
    <w:rsid w:val="55997EDC"/>
    <w:rsid w:val="55AC0AE1"/>
    <w:rsid w:val="55B71BEB"/>
    <w:rsid w:val="55C74FCC"/>
    <w:rsid w:val="55DD6EED"/>
    <w:rsid w:val="55DE3495"/>
    <w:rsid w:val="55E70CFC"/>
    <w:rsid w:val="56156687"/>
    <w:rsid w:val="562B1021"/>
    <w:rsid w:val="562E70CC"/>
    <w:rsid w:val="56384346"/>
    <w:rsid w:val="563B1667"/>
    <w:rsid w:val="565023B2"/>
    <w:rsid w:val="565E7723"/>
    <w:rsid w:val="56745A09"/>
    <w:rsid w:val="569F6CEC"/>
    <w:rsid w:val="56A4460A"/>
    <w:rsid w:val="56C82C69"/>
    <w:rsid w:val="56D244A3"/>
    <w:rsid w:val="56DC79F4"/>
    <w:rsid w:val="56F049FE"/>
    <w:rsid w:val="570C034A"/>
    <w:rsid w:val="572824CB"/>
    <w:rsid w:val="5732525E"/>
    <w:rsid w:val="574F777E"/>
    <w:rsid w:val="575E5E0B"/>
    <w:rsid w:val="576525F2"/>
    <w:rsid w:val="5769778E"/>
    <w:rsid w:val="57760709"/>
    <w:rsid w:val="57903AA7"/>
    <w:rsid w:val="579C7A34"/>
    <w:rsid w:val="57A530E5"/>
    <w:rsid w:val="57BF5A58"/>
    <w:rsid w:val="57C245EC"/>
    <w:rsid w:val="57D87F8A"/>
    <w:rsid w:val="57E74053"/>
    <w:rsid w:val="57F1209E"/>
    <w:rsid w:val="57FD1A53"/>
    <w:rsid w:val="580249E9"/>
    <w:rsid w:val="58062D10"/>
    <w:rsid w:val="58096F41"/>
    <w:rsid w:val="58131087"/>
    <w:rsid w:val="58201B4B"/>
    <w:rsid w:val="582A2611"/>
    <w:rsid w:val="58417C07"/>
    <w:rsid w:val="58496ABB"/>
    <w:rsid w:val="58615783"/>
    <w:rsid w:val="58632010"/>
    <w:rsid w:val="587B20A5"/>
    <w:rsid w:val="588412A1"/>
    <w:rsid w:val="5899380F"/>
    <w:rsid w:val="58F36436"/>
    <w:rsid w:val="59003CEA"/>
    <w:rsid w:val="5909478C"/>
    <w:rsid w:val="590B5B1F"/>
    <w:rsid w:val="5919023C"/>
    <w:rsid w:val="591A3FB4"/>
    <w:rsid w:val="59224C88"/>
    <w:rsid w:val="5939461F"/>
    <w:rsid w:val="593E5EF4"/>
    <w:rsid w:val="59426B93"/>
    <w:rsid w:val="59486D73"/>
    <w:rsid w:val="59592D2E"/>
    <w:rsid w:val="596F287D"/>
    <w:rsid w:val="598649EC"/>
    <w:rsid w:val="59933B19"/>
    <w:rsid w:val="59A11FB4"/>
    <w:rsid w:val="59AA0701"/>
    <w:rsid w:val="59AB6481"/>
    <w:rsid w:val="59B012A3"/>
    <w:rsid w:val="59C014FE"/>
    <w:rsid w:val="59C50BC8"/>
    <w:rsid w:val="59C77C98"/>
    <w:rsid w:val="59C81C62"/>
    <w:rsid w:val="59CE67E9"/>
    <w:rsid w:val="59D9463E"/>
    <w:rsid w:val="59FB2F8C"/>
    <w:rsid w:val="5A037997"/>
    <w:rsid w:val="5A166FF4"/>
    <w:rsid w:val="5A290952"/>
    <w:rsid w:val="5A355E17"/>
    <w:rsid w:val="5A481E1E"/>
    <w:rsid w:val="5A58505E"/>
    <w:rsid w:val="5A643739"/>
    <w:rsid w:val="5A6B086C"/>
    <w:rsid w:val="5A8C36C8"/>
    <w:rsid w:val="5A965E54"/>
    <w:rsid w:val="5AA113EC"/>
    <w:rsid w:val="5AA15AB3"/>
    <w:rsid w:val="5AAC50E0"/>
    <w:rsid w:val="5AB81CD6"/>
    <w:rsid w:val="5ADB5E00"/>
    <w:rsid w:val="5ADC3798"/>
    <w:rsid w:val="5AE72BA2"/>
    <w:rsid w:val="5AEA2CC8"/>
    <w:rsid w:val="5AED1175"/>
    <w:rsid w:val="5AF104AF"/>
    <w:rsid w:val="5AF828E4"/>
    <w:rsid w:val="5AFA7190"/>
    <w:rsid w:val="5B192EAE"/>
    <w:rsid w:val="5B486F86"/>
    <w:rsid w:val="5B5E63DA"/>
    <w:rsid w:val="5BCF3F46"/>
    <w:rsid w:val="5BD27843"/>
    <w:rsid w:val="5BD92129"/>
    <w:rsid w:val="5C20360D"/>
    <w:rsid w:val="5C2C0286"/>
    <w:rsid w:val="5C3269B7"/>
    <w:rsid w:val="5C472023"/>
    <w:rsid w:val="5C526D05"/>
    <w:rsid w:val="5C660D10"/>
    <w:rsid w:val="5C774B92"/>
    <w:rsid w:val="5C8400C2"/>
    <w:rsid w:val="5C871DA7"/>
    <w:rsid w:val="5C8C3618"/>
    <w:rsid w:val="5C951D5A"/>
    <w:rsid w:val="5C9E6468"/>
    <w:rsid w:val="5C9F2250"/>
    <w:rsid w:val="5CA66901"/>
    <w:rsid w:val="5CC8797D"/>
    <w:rsid w:val="5CED6664"/>
    <w:rsid w:val="5D3A69D3"/>
    <w:rsid w:val="5D414205"/>
    <w:rsid w:val="5D4E646B"/>
    <w:rsid w:val="5D4F5A01"/>
    <w:rsid w:val="5D5D3A0A"/>
    <w:rsid w:val="5D662FC0"/>
    <w:rsid w:val="5D680D9F"/>
    <w:rsid w:val="5D6879E4"/>
    <w:rsid w:val="5D6D7AB3"/>
    <w:rsid w:val="5D882A47"/>
    <w:rsid w:val="5D942587"/>
    <w:rsid w:val="5D9E12C7"/>
    <w:rsid w:val="5DA23EDF"/>
    <w:rsid w:val="5DA24FD8"/>
    <w:rsid w:val="5DA6050C"/>
    <w:rsid w:val="5DAC5702"/>
    <w:rsid w:val="5DC50992"/>
    <w:rsid w:val="5DC729FC"/>
    <w:rsid w:val="5DCE79B8"/>
    <w:rsid w:val="5DDC4339"/>
    <w:rsid w:val="5DF254FF"/>
    <w:rsid w:val="5E096C5A"/>
    <w:rsid w:val="5E0A2849"/>
    <w:rsid w:val="5E150B9A"/>
    <w:rsid w:val="5E2B7133"/>
    <w:rsid w:val="5E641B6D"/>
    <w:rsid w:val="5E6463FD"/>
    <w:rsid w:val="5E674005"/>
    <w:rsid w:val="5E6E0711"/>
    <w:rsid w:val="5E907D26"/>
    <w:rsid w:val="5E984E7C"/>
    <w:rsid w:val="5EAE7457"/>
    <w:rsid w:val="5EBD41C4"/>
    <w:rsid w:val="5EC07932"/>
    <w:rsid w:val="5ECE3E38"/>
    <w:rsid w:val="5EDC0517"/>
    <w:rsid w:val="5EEE6C54"/>
    <w:rsid w:val="5EF2663C"/>
    <w:rsid w:val="5EFA7E94"/>
    <w:rsid w:val="5EFE3014"/>
    <w:rsid w:val="5F294F51"/>
    <w:rsid w:val="5F2B2C58"/>
    <w:rsid w:val="5F3B570F"/>
    <w:rsid w:val="5F3D5379"/>
    <w:rsid w:val="5F4935A4"/>
    <w:rsid w:val="5F5A7800"/>
    <w:rsid w:val="5F5C79D9"/>
    <w:rsid w:val="5F8D1984"/>
    <w:rsid w:val="5F97010C"/>
    <w:rsid w:val="5FA32F55"/>
    <w:rsid w:val="5FB1323B"/>
    <w:rsid w:val="5FC112D6"/>
    <w:rsid w:val="5FC86518"/>
    <w:rsid w:val="5FDA449D"/>
    <w:rsid w:val="5FFE00FB"/>
    <w:rsid w:val="600D09A9"/>
    <w:rsid w:val="601479AF"/>
    <w:rsid w:val="601E13FF"/>
    <w:rsid w:val="602816AC"/>
    <w:rsid w:val="603040BD"/>
    <w:rsid w:val="6038069E"/>
    <w:rsid w:val="60477455"/>
    <w:rsid w:val="604A53A5"/>
    <w:rsid w:val="604E5489"/>
    <w:rsid w:val="60561D75"/>
    <w:rsid w:val="607F19D7"/>
    <w:rsid w:val="608142AC"/>
    <w:rsid w:val="608C17A6"/>
    <w:rsid w:val="6092704F"/>
    <w:rsid w:val="609355AC"/>
    <w:rsid w:val="609500A1"/>
    <w:rsid w:val="60A10F1F"/>
    <w:rsid w:val="60A36B21"/>
    <w:rsid w:val="60A56859"/>
    <w:rsid w:val="60B53011"/>
    <w:rsid w:val="60BE791B"/>
    <w:rsid w:val="60C34F31"/>
    <w:rsid w:val="60E358AA"/>
    <w:rsid w:val="60F141B9"/>
    <w:rsid w:val="6109503A"/>
    <w:rsid w:val="6158154E"/>
    <w:rsid w:val="61627B6F"/>
    <w:rsid w:val="619A57D2"/>
    <w:rsid w:val="61A005C3"/>
    <w:rsid w:val="61C96577"/>
    <w:rsid w:val="61D07906"/>
    <w:rsid w:val="61F25ACE"/>
    <w:rsid w:val="61F3261A"/>
    <w:rsid w:val="61F359F2"/>
    <w:rsid w:val="620A12CA"/>
    <w:rsid w:val="62145A44"/>
    <w:rsid w:val="621E76E6"/>
    <w:rsid w:val="622D7F83"/>
    <w:rsid w:val="62612C54"/>
    <w:rsid w:val="626E3732"/>
    <w:rsid w:val="62816E52"/>
    <w:rsid w:val="62AB3AAD"/>
    <w:rsid w:val="62BC7E8A"/>
    <w:rsid w:val="62CC243F"/>
    <w:rsid w:val="62DF7DB4"/>
    <w:rsid w:val="62F53AC8"/>
    <w:rsid w:val="62F9460D"/>
    <w:rsid w:val="62FB4E56"/>
    <w:rsid w:val="63001DEA"/>
    <w:rsid w:val="63006935"/>
    <w:rsid w:val="630252E4"/>
    <w:rsid w:val="630A5E92"/>
    <w:rsid w:val="6320371C"/>
    <w:rsid w:val="6324615B"/>
    <w:rsid w:val="63275C4B"/>
    <w:rsid w:val="632B4F06"/>
    <w:rsid w:val="634C0ABC"/>
    <w:rsid w:val="63691DC0"/>
    <w:rsid w:val="63B22A7F"/>
    <w:rsid w:val="63B708AF"/>
    <w:rsid w:val="63B764C7"/>
    <w:rsid w:val="63BA261B"/>
    <w:rsid w:val="63C705E7"/>
    <w:rsid w:val="63D72F66"/>
    <w:rsid w:val="63FB607A"/>
    <w:rsid w:val="640556F3"/>
    <w:rsid w:val="642C1B08"/>
    <w:rsid w:val="642D031A"/>
    <w:rsid w:val="642D22F7"/>
    <w:rsid w:val="647452F7"/>
    <w:rsid w:val="64A259FB"/>
    <w:rsid w:val="64A417FD"/>
    <w:rsid w:val="64C15295"/>
    <w:rsid w:val="64D62324"/>
    <w:rsid w:val="64DA173A"/>
    <w:rsid w:val="64F45E8A"/>
    <w:rsid w:val="64F5418C"/>
    <w:rsid w:val="650C6EA7"/>
    <w:rsid w:val="653E0AD1"/>
    <w:rsid w:val="655B6D3F"/>
    <w:rsid w:val="656942F9"/>
    <w:rsid w:val="656960A7"/>
    <w:rsid w:val="656A5D59"/>
    <w:rsid w:val="657872E1"/>
    <w:rsid w:val="658A426F"/>
    <w:rsid w:val="658C6F26"/>
    <w:rsid w:val="65995E9C"/>
    <w:rsid w:val="659D0447"/>
    <w:rsid w:val="65B25723"/>
    <w:rsid w:val="65C36135"/>
    <w:rsid w:val="65CD6536"/>
    <w:rsid w:val="65CE7DBA"/>
    <w:rsid w:val="65DE0452"/>
    <w:rsid w:val="65FD27E8"/>
    <w:rsid w:val="661C546B"/>
    <w:rsid w:val="662D2E7F"/>
    <w:rsid w:val="66595DE8"/>
    <w:rsid w:val="66612D4F"/>
    <w:rsid w:val="66682803"/>
    <w:rsid w:val="666B5E4F"/>
    <w:rsid w:val="666D7E19"/>
    <w:rsid w:val="666F593F"/>
    <w:rsid w:val="66784C0F"/>
    <w:rsid w:val="668B6D1C"/>
    <w:rsid w:val="668D4017"/>
    <w:rsid w:val="669869C2"/>
    <w:rsid w:val="66996E60"/>
    <w:rsid w:val="66B50673"/>
    <w:rsid w:val="66B83A5E"/>
    <w:rsid w:val="66D34655"/>
    <w:rsid w:val="66D37748"/>
    <w:rsid w:val="66DC6D4D"/>
    <w:rsid w:val="670541D2"/>
    <w:rsid w:val="671D2395"/>
    <w:rsid w:val="674C7A59"/>
    <w:rsid w:val="67507AD2"/>
    <w:rsid w:val="6754141A"/>
    <w:rsid w:val="676E05AF"/>
    <w:rsid w:val="67A930D3"/>
    <w:rsid w:val="67A97625"/>
    <w:rsid w:val="67B101D9"/>
    <w:rsid w:val="67B43BAE"/>
    <w:rsid w:val="67DD6DAE"/>
    <w:rsid w:val="68104574"/>
    <w:rsid w:val="681A5D7E"/>
    <w:rsid w:val="681D72FE"/>
    <w:rsid w:val="68231F2F"/>
    <w:rsid w:val="68294213"/>
    <w:rsid w:val="68355837"/>
    <w:rsid w:val="684828EC"/>
    <w:rsid w:val="68691594"/>
    <w:rsid w:val="686B0388"/>
    <w:rsid w:val="68727968"/>
    <w:rsid w:val="6886249F"/>
    <w:rsid w:val="68AE62E8"/>
    <w:rsid w:val="68C65C97"/>
    <w:rsid w:val="68ED3493"/>
    <w:rsid w:val="690E58E3"/>
    <w:rsid w:val="691523E5"/>
    <w:rsid w:val="69384C8C"/>
    <w:rsid w:val="695B03FD"/>
    <w:rsid w:val="698D43C8"/>
    <w:rsid w:val="6997643B"/>
    <w:rsid w:val="699F29DF"/>
    <w:rsid w:val="69D142B3"/>
    <w:rsid w:val="69DA3A17"/>
    <w:rsid w:val="69E93B36"/>
    <w:rsid w:val="69F557CB"/>
    <w:rsid w:val="69FA10B6"/>
    <w:rsid w:val="6A0C2092"/>
    <w:rsid w:val="6A226039"/>
    <w:rsid w:val="6A2B7969"/>
    <w:rsid w:val="6A2F60ED"/>
    <w:rsid w:val="6A3A15DE"/>
    <w:rsid w:val="6A3A44B6"/>
    <w:rsid w:val="6A4175F2"/>
    <w:rsid w:val="6A445335"/>
    <w:rsid w:val="6A503ED1"/>
    <w:rsid w:val="6A5270BD"/>
    <w:rsid w:val="6A541E15"/>
    <w:rsid w:val="6A554F71"/>
    <w:rsid w:val="6A607E4D"/>
    <w:rsid w:val="6A892565"/>
    <w:rsid w:val="6A9D555E"/>
    <w:rsid w:val="6A9E5CB7"/>
    <w:rsid w:val="6AB55F9D"/>
    <w:rsid w:val="6AC25CE3"/>
    <w:rsid w:val="6B060F5B"/>
    <w:rsid w:val="6B0C2230"/>
    <w:rsid w:val="6B123769"/>
    <w:rsid w:val="6B2B31D6"/>
    <w:rsid w:val="6B3C600C"/>
    <w:rsid w:val="6B3F3224"/>
    <w:rsid w:val="6B5B427C"/>
    <w:rsid w:val="6B6078BB"/>
    <w:rsid w:val="6B642897"/>
    <w:rsid w:val="6B8342C1"/>
    <w:rsid w:val="6B851761"/>
    <w:rsid w:val="6B8D1C42"/>
    <w:rsid w:val="6B9320D0"/>
    <w:rsid w:val="6BA0712C"/>
    <w:rsid w:val="6BAB5605"/>
    <w:rsid w:val="6BB4713B"/>
    <w:rsid w:val="6BBB53B4"/>
    <w:rsid w:val="6BD5370D"/>
    <w:rsid w:val="6BDE63B7"/>
    <w:rsid w:val="6BF57D68"/>
    <w:rsid w:val="6BF75BB5"/>
    <w:rsid w:val="6C076D63"/>
    <w:rsid w:val="6C0C1E82"/>
    <w:rsid w:val="6C24541E"/>
    <w:rsid w:val="6C327B3B"/>
    <w:rsid w:val="6C3513D9"/>
    <w:rsid w:val="6C3F2464"/>
    <w:rsid w:val="6C3F5DB4"/>
    <w:rsid w:val="6C44363B"/>
    <w:rsid w:val="6C4D6722"/>
    <w:rsid w:val="6C532055"/>
    <w:rsid w:val="6C5770D5"/>
    <w:rsid w:val="6C6C00BA"/>
    <w:rsid w:val="6C887C8C"/>
    <w:rsid w:val="6C943CDA"/>
    <w:rsid w:val="6C9E0201"/>
    <w:rsid w:val="6CA60513"/>
    <w:rsid w:val="6CBA18DE"/>
    <w:rsid w:val="6CD5503A"/>
    <w:rsid w:val="6CDA7A78"/>
    <w:rsid w:val="6CDE737B"/>
    <w:rsid w:val="6CDF1C45"/>
    <w:rsid w:val="6CF441A7"/>
    <w:rsid w:val="6D0F39D8"/>
    <w:rsid w:val="6D122FBA"/>
    <w:rsid w:val="6D325918"/>
    <w:rsid w:val="6D362E7C"/>
    <w:rsid w:val="6D3C4F87"/>
    <w:rsid w:val="6D423220"/>
    <w:rsid w:val="6D487626"/>
    <w:rsid w:val="6D5646D7"/>
    <w:rsid w:val="6D761A4A"/>
    <w:rsid w:val="6D8215D7"/>
    <w:rsid w:val="6D922C5B"/>
    <w:rsid w:val="6DB21B8F"/>
    <w:rsid w:val="6DC51FA2"/>
    <w:rsid w:val="6DC742B3"/>
    <w:rsid w:val="6E04165B"/>
    <w:rsid w:val="6E0A33B1"/>
    <w:rsid w:val="6E264CF2"/>
    <w:rsid w:val="6E381B18"/>
    <w:rsid w:val="6E4358BF"/>
    <w:rsid w:val="6E53511D"/>
    <w:rsid w:val="6E5F0336"/>
    <w:rsid w:val="6E6259CF"/>
    <w:rsid w:val="6E6935BC"/>
    <w:rsid w:val="6E761835"/>
    <w:rsid w:val="6E847097"/>
    <w:rsid w:val="6E91543F"/>
    <w:rsid w:val="6EA4396C"/>
    <w:rsid w:val="6EA6211A"/>
    <w:rsid w:val="6EA63EC8"/>
    <w:rsid w:val="6EA64F2B"/>
    <w:rsid w:val="6EA84C4D"/>
    <w:rsid w:val="6EAD51A7"/>
    <w:rsid w:val="6ED0363B"/>
    <w:rsid w:val="6ED26A11"/>
    <w:rsid w:val="6EE175F6"/>
    <w:rsid w:val="6EE50547"/>
    <w:rsid w:val="6F0917CE"/>
    <w:rsid w:val="6F121E72"/>
    <w:rsid w:val="6F146C6C"/>
    <w:rsid w:val="6F1B5C4A"/>
    <w:rsid w:val="6F1E02C3"/>
    <w:rsid w:val="6F2179F2"/>
    <w:rsid w:val="6F427072"/>
    <w:rsid w:val="6F50730C"/>
    <w:rsid w:val="6F67731E"/>
    <w:rsid w:val="6F742218"/>
    <w:rsid w:val="6F7A7103"/>
    <w:rsid w:val="6F88019C"/>
    <w:rsid w:val="6F8F2CFE"/>
    <w:rsid w:val="6F9110F8"/>
    <w:rsid w:val="6F9124E4"/>
    <w:rsid w:val="6F941206"/>
    <w:rsid w:val="6F9E02F2"/>
    <w:rsid w:val="6FAD1286"/>
    <w:rsid w:val="6FBB4290"/>
    <w:rsid w:val="6FC62348"/>
    <w:rsid w:val="6FC72E97"/>
    <w:rsid w:val="6FD55ED8"/>
    <w:rsid w:val="6FD71C4D"/>
    <w:rsid w:val="6FE0786C"/>
    <w:rsid w:val="6FEA01BA"/>
    <w:rsid w:val="6FF34DA9"/>
    <w:rsid w:val="6FF75ABB"/>
    <w:rsid w:val="701B6B38"/>
    <w:rsid w:val="702E686B"/>
    <w:rsid w:val="703A7742"/>
    <w:rsid w:val="703F2826"/>
    <w:rsid w:val="7040034C"/>
    <w:rsid w:val="705160B5"/>
    <w:rsid w:val="705234B1"/>
    <w:rsid w:val="705E122F"/>
    <w:rsid w:val="705F4991"/>
    <w:rsid w:val="706A2A9F"/>
    <w:rsid w:val="70707264"/>
    <w:rsid w:val="707B2BDF"/>
    <w:rsid w:val="709633FB"/>
    <w:rsid w:val="70976F90"/>
    <w:rsid w:val="70A60867"/>
    <w:rsid w:val="70A628A5"/>
    <w:rsid w:val="70A9313E"/>
    <w:rsid w:val="70AC7FE9"/>
    <w:rsid w:val="70BA00FF"/>
    <w:rsid w:val="70BC5413"/>
    <w:rsid w:val="70C9177A"/>
    <w:rsid w:val="70E1568B"/>
    <w:rsid w:val="70ED448B"/>
    <w:rsid w:val="70F74EAF"/>
    <w:rsid w:val="70FC5966"/>
    <w:rsid w:val="711879BA"/>
    <w:rsid w:val="711E068D"/>
    <w:rsid w:val="71221C3A"/>
    <w:rsid w:val="712B110C"/>
    <w:rsid w:val="713B6809"/>
    <w:rsid w:val="713B6B48"/>
    <w:rsid w:val="713D15C7"/>
    <w:rsid w:val="71454E59"/>
    <w:rsid w:val="71507D51"/>
    <w:rsid w:val="7169742F"/>
    <w:rsid w:val="71866233"/>
    <w:rsid w:val="71A22FEE"/>
    <w:rsid w:val="71BB528F"/>
    <w:rsid w:val="71BE153D"/>
    <w:rsid w:val="71C34FDA"/>
    <w:rsid w:val="71C74D9B"/>
    <w:rsid w:val="71CF1988"/>
    <w:rsid w:val="71DE2512"/>
    <w:rsid w:val="71E333BD"/>
    <w:rsid w:val="71EB3F40"/>
    <w:rsid w:val="71F4681E"/>
    <w:rsid w:val="7249413B"/>
    <w:rsid w:val="724D2871"/>
    <w:rsid w:val="72811D90"/>
    <w:rsid w:val="72816F46"/>
    <w:rsid w:val="72852551"/>
    <w:rsid w:val="728564EA"/>
    <w:rsid w:val="728E2A0C"/>
    <w:rsid w:val="7293012F"/>
    <w:rsid w:val="729A1B38"/>
    <w:rsid w:val="729B3795"/>
    <w:rsid w:val="72C83CED"/>
    <w:rsid w:val="730B2E93"/>
    <w:rsid w:val="73233EAF"/>
    <w:rsid w:val="73244A81"/>
    <w:rsid w:val="7327524D"/>
    <w:rsid w:val="73281FDF"/>
    <w:rsid w:val="732A1B34"/>
    <w:rsid w:val="73325AB1"/>
    <w:rsid w:val="73372B4D"/>
    <w:rsid w:val="733A6DD8"/>
    <w:rsid w:val="73591E51"/>
    <w:rsid w:val="73634A7D"/>
    <w:rsid w:val="736F7856"/>
    <w:rsid w:val="73943D37"/>
    <w:rsid w:val="73994ACC"/>
    <w:rsid w:val="73B41B68"/>
    <w:rsid w:val="73C51294"/>
    <w:rsid w:val="73CF1278"/>
    <w:rsid w:val="741464E0"/>
    <w:rsid w:val="741527AA"/>
    <w:rsid w:val="74165326"/>
    <w:rsid w:val="742E7041"/>
    <w:rsid w:val="744C5512"/>
    <w:rsid w:val="745D75D2"/>
    <w:rsid w:val="74674E7F"/>
    <w:rsid w:val="74711F46"/>
    <w:rsid w:val="74852BCC"/>
    <w:rsid w:val="749D3FBF"/>
    <w:rsid w:val="74A071A1"/>
    <w:rsid w:val="74A52E74"/>
    <w:rsid w:val="74A8032E"/>
    <w:rsid w:val="74AE7F7A"/>
    <w:rsid w:val="74B37B7D"/>
    <w:rsid w:val="74BB1C18"/>
    <w:rsid w:val="74C61D15"/>
    <w:rsid w:val="750000AA"/>
    <w:rsid w:val="75204D65"/>
    <w:rsid w:val="75207DF2"/>
    <w:rsid w:val="752913AF"/>
    <w:rsid w:val="75614FED"/>
    <w:rsid w:val="75660855"/>
    <w:rsid w:val="7568637B"/>
    <w:rsid w:val="756B5E6B"/>
    <w:rsid w:val="758340BF"/>
    <w:rsid w:val="759E2B06"/>
    <w:rsid w:val="75A129C0"/>
    <w:rsid w:val="75BC0475"/>
    <w:rsid w:val="75C975FB"/>
    <w:rsid w:val="75D1743B"/>
    <w:rsid w:val="75E45296"/>
    <w:rsid w:val="762A53DF"/>
    <w:rsid w:val="762C55FB"/>
    <w:rsid w:val="7632355B"/>
    <w:rsid w:val="76551EA9"/>
    <w:rsid w:val="765B4AC5"/>
    <w:rsid w:val="76664C8D"/>
    <w:rsid w:val="76761F1C"/>
    <w:rsid w:val="76956494"/>
    <w:rsid w:val="769E7CB2"/>
    <w:rsid w:val="76BF671D"/>
    <w:rsid w:val="76C13F86"/>
    <w:rsid w:val="76FA4542"/>
    <w:rsid w:val="76FA74A7"/>
    <w:rsid w:val="76FF5415"/>
    <w:rsid w:val="770B16B4"/>
    <w:rsid w:val="77387FCF"/>
    <w:rsid w:val="7760094C"/>
    <w:rsid w:val="776808B4"/>
    <w:rsid w:val="776B0749"/>
    <w:rsid w:val="77860492"/>
    <w:rsid w:val="77860D3A"/>
    <w:rsid w:val="778F488A"/>
    <w:rsid w:val="779B456E"/>
    <w:rsid w:val="779C055E"/>
    <w:rsid w:val="779E36DC"/>
    <w:rsid w:val="77C30BA9"/>
    <w:rsid w:val="77E15F71"/>
    <w:rsid w:val="77E437CE"/>
    <w:rsid w:val="77E51F05"/>
    <w:rsid w:val="77E95E15"/>
    <w:rsid w:val="77FC2DAB"/>
    <w:rsid w:val="77FF289B"/>
    <w:rsid w:val="780206BB"/>
    <w:rsid w:val="78113BDD"/>
    <w:rsid w:val="781618BC"/>
    <w:rsid w:val="781F4CEB"/>
    <w:rsid w:val="782007AA"/>
    <w:rsid w:val="783F2118"/>
    <w:rsid w:val="784B6D50"/>
    <w:rsid w:val="784C354B"/>
    <w:rsid w:val="78544995"/>
    <w:rsid w:val="78593FC6"/>
    <w:rsid w:val="789046A6"/>
    <w:rsid w:val="78911745"/>
    <w:rsid w:val="789E0099"/>
    <w:rsid w:val="78A235FD"/>
    <w:rsid w:val="78A42EA7"/>
    <w:rsid w:val="78AF34DD"/>
    <w:rsid w:val="78B45760"/>
    <w:rsid w:val="78B748C0"/>
    <w:rsid w:val="78C820F9"/>
    <w:rsid w:val="78CB776D"/>
    <w:rsid w:val="78CC0397"/>
    <w:rsid w:val="78D81945"/>
    <w:rsid w:val="78E51A91"/>
    <w:rsid w:val="78FD4FC6"/>
    <w:rsid w:val="79075EAB"/>
    <w:rsid w:val="791A09FE"/>
    <w:rsid w:val="79477445"/>
    <w:rsid w:val="794F77B7"/>
    <w:rsid w:val="79805EA3"/>
    <w:rsid w:val="7984574E"/>
    <w:rsid w:val="798A5B7C"/>
    <w:rsid w:val="798E2128"/>
    <w:rsid w:val="798F4DE5"/>
    <w:rsid w:val="799A0D22"/>
    <w:rsid w:val="79A16564"/>
    <w:rsid w:val="79A201CB"/>
    <w:rsid w:val="79A4194C"/>
    <w:rsid w:val="79A56375"/>
    <w:rsid w:val="79C422E0"/>
    <w:rsid w:val="79CF2FAD"/>
    <w:rsid w:val="7A111E22"/>
    <w:rsid w:val="7A2111EE"/>
    <w:rsid w:val="7A2F56B9"/>
    <w:rsid w:val="7A353F3B"/>
    <w:rsid w:val="7A3727C0"/>
    <w:rsid w:val="7A5C1FA4"/>
    <w:rsid w:val="7A5F2241"/>
    <w:rsid w:val="7A620030"/>
    <w:rsid w:val="7A790A59"/>
    <w:rsid w:val="7AA437E0"/>
    <w:rsid w:val="7AAC271B"/>
    <w:rsid w:val="7AB21E46"/>
    <w:rsid w:val="7AD718AD"/>
    <w:rsid w:val="7AD86223"/>
    <w:rsid w:val="7ADA6D20"/>
    <w:rsid w:val="7AE30BB3"/>
    <w:rsid w:val="7AED10D1"/>
    <w:rsid w:val="7AFE6E3A"/>
    <w:rsid w:val="7B324611"/>
    <w:rsid w:val="7B3928A0"/>
    <w:rsid w:val="7B3A5A82"/>
    <w:rsid w:val="7B3E36DA"/>
    <w:rsid w:val="7B434D14"/>
    <w:rsid w:val="7B4C1D99"/>
    <w:rsid w:val="7B6A03F6"/>
    <w:rsid w:val="7B860756"/>
    <w:rsid w:val="7B931727"/>
    <w:rsid w:val="7BBA0FB3"/>
    <w:rsid w:val="7BBE29B2"/>
    <w:rsid w:val="7BBE480C"/>
    <w:rsid w:val="7BC63DFB"/>
    <w:rsid w:val="7BC86D88"/>
    <w:rsid w:val="7BCB03E5"/>
    <w:rsid w:val="7BF81ADB"/>
    <w:rsid w:val="7C142DB9"/>
    <w:rsid w:val="7C195991"/>
    <w:rsid w:val="7C1A66F4"/>
    <w:rsid w:val="7C42234F"/>
    <w:rsid w:val="7C4C62DD"/>
    <w:rsid w:val="7C695805"/>
    <w:rsid w:val="7C6F2C56"/>
    <w:rsid w:val="7C783B35"/>
    <w:rsid w:val="7C8141C6"/>
    <w:rsid w:val="7C95774C"/>
    <w:rsid w:val="7CA35EEB"/>
    <w:rsid w:val="7CCE5050"/>
    <w:rsid w:val="7CDD3E5F"/>
    <w:rsid w:val="7CE44045"/>
    <w:rsid w:val="7CF15947"/>
    <w:rsid w:val="7D1155F5"/>
    <w:rsid w:val="7D2E2162"/>
    <w:rsid w:val="7D2E72FB"/>
    <w:rsid w:val="7D32101D"/>
    <w:rsid w:val="7D371272"/>
    <w:rsid w:val="7D401853"/>
    <w:rsid w:val="7D4A7303"/>
    <w:rsid w:val="7D531B02"/>
    <w:rsid w:val="7D55316B"/>
    <w:rsid w:val="7D713DE7"/>
    <w:rsid w:val="7D7166BF"/>
    <w:rsid w:val="7D724888"/>
    <w:rsid w:val="7D7611DC"/>
    <w:rsid w:val="7D7D2D16"/>
    <w:rsid w:val="7D896D00"/>
    <w:rsid w:val="7D90298B"/>
    <w:rsid w:val="7D9D6DDE"/>
    <w:rsid w:val="7DA77456"/>
    <w:rsid w:val="7DBB5C07"/>
    <w:rsid w:val="7DD52884"/>
    <w:rsid w:val="7DE927A5"/>
    <w:rsid w:val="7DF934E8"/>
    <w:rsid w:val="7E3E411D"/>
    <w:rsid w:val="7E421EC3"/>
    <w:rsid w:val="7E7062A0"/>
    <w:rsid w:val="7E7E6C0F"/>
    <w:rsid w:val="7E8B0E32"/>
    <w:rsid w:val="7EAF261A"/>
    <w:rsid w:val="7EB24647"/>
    <w:rsid w:val="7EDA138B"/>
    <w:rsid w:val="7EF03B9F"/>
    <w:rsid w:val="7F005876"/>
    <w:rsid w:val="7F026A98"/>
    <w:rsid w:val="7F3C6183"/>
    <w:rsid w:val="7F5C6CC4"/>
    <w:rsid w:val="7F8E42A7"/>
    <w:rsid w:val="7FAA49DF"/>
    <w:rsid w:val="7FAB3A34"/>
    <w:rsid w:val="7FBD72C3"/>
    <w:rsid w:val="7FE42AA2"/>
    <w:rsid w:val="7FF41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880" w:firstLineChars="20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keepLines/>
      <w:spacing w:line="408" w:lineRule="auto"/>
      <w:outlineLvl w:val="0"/>
    </w:pPr>
    <w:rPr>
      <w:b/>
      <w:bCs/>
      <w:color w:val="1A1A1A"/>
      <w:sz w:val="36"/>
      <w:szCs w:val="36"/>
    </w:rPr>
  </w:style>
  <w:style w:type="paragraph" w:styleId="3">
    <w:name w:val="heading 2"/>
    <w:basedOn w:val="1"/>
    <w:next w:val="1"/>
    <w:autoRedefine/>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autoRedefine/>
    <w:qFormat/>
    <w:uiPriority w:val="0"/>
    <w:pPr>
      <w:keepNext/>
      <w:keepLines/>
      <w:spacing w:before="120" w:after="120" w:line="360" w:lineRule="auto"/>
      <w:jc w:val="left"/>
      <w:outlineLvl w:val="2"/>
    </w:pPr>
    <w:rPr>
      <w:rFonts w:ascii="黑体" w:hAnsi="黑体" w:eastAsia="黑体"/>
      <w:bCs/>
    </w:rPr>
  </w:style>
  <w:style w:type="paragraph" w:styleId="5">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firstLine="420"/>
    </w:pPr>
  </w:style>
  <w:style w:type="paragraph" w:styleId="7">
    <w:name w:val="toa heading"/>
    <w:basedOn w:val="1"/>
    <w:next w:val="1"/>
    <w:autoRedefine/>
    <w:qFormat/>
    <w:uiPriority w:val="0"/>
    <w:rPr>
      <w:rFonts w:ascii="Arial" w:hAnsi="Arial"/>
      <w:sz w:val="24"/>
    </w:rPr>
  </w:style>
  <w:style w:type="paragraph" w:styleId="8">
    <w:name w:val="annotation text"/>
    <w:basedOn w:val="1"/>
    <w:link w:val="32"/>
    <w:autoRedefine/>
    <w:qFormat/>
    <w:uiPriority w:val="0"/>
    <w:pPr>
      <w:jc w:val="left"/>
    </w:pPr>
  </w:style>
  <w:style w:type="paragraph" w:styleId="9">
    <w:name w:val="Body Text"/>
    <w:basedOn w:val="1"/>
    <w:next w:val="1"/>
    <w:autoRedefine/>
    <w:unhideWhenUsed/>
    <w:qFormat/>
    <w:uiPriority w:val="99"/>
    <w:rPr>
      <w:sz w:val="28"/>
    </w:rPr>
  </w:style>
  <w:style w:type="paragraph" w:styleId="10">
    <w:name w:val="Body Text Indent"/>
    <w:basedOn w:val="1"/>
    <w:autoRedefine/>
    <w:qFormat/>
    <w:uiPriority w:val="0"/>
    <w:pPr>
      <w:ind w:firstLine="560"/>
    </w:pPr>
    <w:rPr>
      <w:rFonts w:ascii="宋体" w:hAnsi="宋体"/>
      <w:bCs/>
      <w:sz w:val="28"/>
      <w:szCs w:val="32"/>
    </w:rPr>
  </w:style>
  <w:style w:type="paragraph" w:styleId="11">
    <w:name w:val="Balloon Text"/>
    <w:basedOn w:val="1"/>
    <w:link w:val="24"/>
    <w:autoRedefine/>
    <w:qFormat/>
    <w:uiPriority w:val="0"/>
    <w:rPr>
      <w:sz w:val="18"/>
      <w:szCs w:val="18"/>
    </w:rPr>
  </w:style>
  <w:style w:type="paragraph" w:styleId="12">
    <w:name w:val="footer"/>
    <w:basedOn w:val="1"/>
    <w:link w:val="26"/>
    <w:autoRedefine/>
    <w:qFormat/>
    <w:uiPriority w:val="99"/>
    <w:pPr>
      <w:tabs>
        <w:tab w:val="center" w:pos="4153"/>
        <w:tab w:val="right" w:pos="8306"/>
      </w:tabs>
      <w:snapToGrid w:val="0"/>
      <w:jc w:val="left"/>
    </w:pPr>
    <w:rPr>
      <w:kern w:val="0"/>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14">
    <w:name w:val="Normal (Web)"/>
    <w:basedOn w:val="1"/>
    <w:autoRedefine/>
    <w:unhideWhenUsed/>
    <w:qFormat/>
    <w:uiPriority w:val="0"/>
    <w:pPr>
      <w:widowControl/>
      <w:spacing w:beforeAutospacing="1" w:afterAutospacing="1"/>
      <w:jc w:val="left"/>
    </w:pPr>
    <w:rPr>
      <w:rFonts w:ascii="宋体" w:hAnsi="宋体" w:cs="宋体"/>
      <w:kern w:val="0"/>
      <w:sz w:val="24"/>
    </w:rPr>
  </w:style>
  <w:style w:type="paragraph" w:styleId="15">
    <w:name w:val="annotation subject"/>
    <w:basedOn w:val="8"/>
    <w:next w:val="8"/>
    <w:link w:val="33"/>
    <w:autoRedefine/>
    <w:semiHidden/>
    <w:unhideWhenUsed/>
    <w:qFormat/>
    <w:uiPriority w:val="0"/>
    <w:rPr>
      <w:b/>
      <w:bCs/>
    </w:rPr>
  </w:style>
  <w:style w:type="paragraph" w:styleId="16">
    <w:name w:val="Body Text First Indent"/>
    <w:basedOn w:val="9"/>
    <w:next w:val="1"/>
    <w:autoRedefine/>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7">
    <w:name w:val="Body Text First Indent 2"/>
    <w:basedOn w:val="10"/>
    <w:autoRedefine/>
    <w:qFormat/>
    <w:uiPriority w:val="0"/>
    <w:pPr>
      <w:ind w:firstLine="420"/>
    </w:pPr>
    <w:rPr>
      <w:rFonts w:ascii="楷体_GB2312" w:eastAsia="楷体_GB2312"/>
      <w:sz w:val="32"/>
    </w:rPr>
  </w:style>
  <w:style w:type="table" w:styleId="19">
    <w:name w:val="Table Grid"/>
    <w:basedOn w:val="18"/>
    <w:autoRedefine/>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1">
    <w:name w:val="page number"/>
    <w:autoRedefine/>
    <w:qFormat/>
    <w:uiPriority w:val="0"/>
  </w:style>
  <w:style w:type="character" w:styleId="22">
    <w:name w:val="Hyperlink"/>
    <w:basedOn w:val="20"/>
    <w:autoRedefine/>
    <w:unhideWhenUsed/>
    <w:qFormat/>
    <w:uiPriority w:val="99"/>
    <w:rPr>
      <w:color w:val="0563C1" w:themeColor="hyperlink"/>
      <w:u w:val="single"/>
      <w14:textFill>
        <w14:solidFill>
          <w14:schemeClr w14:val="hlink"/>
        </w14:solidFill>
      </w14:textFill>
    </w:rPr>
  </w:style>
  <w:style w:type="character" w:styleId="23">
    <w:name w:val="annotation reference"/>
    <w:basedOn w:val="20"/>
    <w:autoRedefine/>
    <w:semiHidden/>
    <w:unhideWhenUsed/>
    <w:qFormat/>
    <w:uiPriority w:val="0"/>
    <w:rPr>
      <w:sz w:val="21"/>
      <w:szCs w:val="21"/>
    </w:rPr>
  </w:style>
  <w:style w:type="character" w:customStyle="1" w:styleId="24">
    <w:name w:val="批注框文本 字符"/>
    <w:basedOn w:val="20"/>
    <w:link w:val="11"/>
    <w:autoRedefine/>
    <w:qFormat/>
    <w:uiPriority w:val="0"/>
    <w:rPr>
      <w:rFonts w:asciiTheme="minorHAnsi" w:hAnsiTheme="minorHAnsi" w:eastAsiaTheme="minorEastAsia" w:cstheme="minorBidi"/>
      <w:kern w:val="2"/>
      <w:sz w:val="18"/>
      <w:szCs w:val="18"/>
    </w:rPr>
  </w:style>
  <w:style w:type="paragraph" w:styleId="25">
    <w:name w:val="List Paragraph"/>
    <w:basedOn w:val="1"/>
    <w:autoRedefine/>
    <w:qFormat/>
    <w:uiPriority w:val="34"/>
    <w:pPr>
      <w:ind w:firstLine="420"/>
    </w:pPr>
    <w:rPr>
      <w:szCs w:val="22"/>
    </w:rPr>
  </w:style>
  <w:style w:type="character" w:customStyle="1" w:styleId="26">
    <w:name w:val="页脚 字符"/>
    <w:basedOn w:val="20"/>
    <w:link w:val="12"/>
    <w:autoRedefine/>
    <w:qFormat/>
    <w:uiPriority w:val="99"/>
    <w:rPr>
      <w:rFonts w:asciiTheme="minorHAnsi" w:hAnsiTheme="minorHAnsi" w:eastAsiaTheme="minorEastAsia" w:cstheme="minorBidi"/>
      <w:sz w:val="18"/>
      <w:szCs w:val="18"/>
    </w:rPr>
  </w:style>
  <w:style w:type="paragraph" w:customStyle="1" w:styleId="27">
    <w:name w:val="NormalIndent"/>
    <w:basedOn w:val="1"/>
    <w:next w:val="28"/>
    <w:autoRedefine/>
    <w:qFormat/>
    <w:uiPriority w:val="0"/>
    <w:pPr>
      <w:ind w:firstLine="420"/>
    </w:pPr>
  </w:style>
  <w:style w:type="paragraph" w:customStyle="1" w:styleId="28">
    <w:name w:val="BodyText"/>
    <w:basedOn w:val="1"/>
    <w:next w:val="1"/>
    <w:autoRedefine/>
    <w:qFormat/>
    <w:uiPriority w:val="0"/>
    <w:pPr>
      <w:spacing w:after="120"/>
    </w:pPr>
  </w:style>
  <w:style w:type="paragraph" w:customStyle="1" w:styleId="29">
    <w:name w:val="列表段落1"/>
    <w:basedOn w:val="1"/>
    <w:autoRedefine/>
    <w:qFormat/>
    <w:uiPriority w:val="34"/>
    <w:pPr>
      <w:ind w:firstLine="420"/>
    </w:pPr>
  </w:style>
  <w:style w:type="paragraph" w:customStyle="1" w:styleId="30">
    <w:name w:val="列表段落21"/>
    <w:basedOn w:val="1"/>
    <w:autoRedefine/>
    <w:qFormat/>
    <w:uiPriority w:val="34"/>
    <w:pPr>
      <w:ind w:firstLine="420"/>
    </w:pPr>
  </w:style>
  <w:style w:type="paragraph" w:customStyle="1" w:styleId="31">
    <w:name w:val="列表段落2"/>
    <w:basedOn w:val="1"/>
    <w:autoRedefine/>
    <w:qFormat/>
    <w:uiPriority w:val="34"/>
    <w:pPr>
      <w:ind w:firstLine="420"/>
    </w:pPr>
  </w:style>
  <w:style w:type="character" w:customStyle="1" w:styleId="32">
    <w:name w:val="批注文字 字符"/>
    <w:basedOn w:val="20"/>
    <w:link w:val="8"/>
    <w:autoRedefine/>
    <w:qFormat/>
    <w:uiPriority w:val="0"/>
    <w:rPr>
      <w:rFonts w:asciiTheme="minorHAnsi" w:hAnsiTheme="minorHAnsi" w:eastAsiaTheme="minorEastAsia" w:cstheme="minorBidi"/>
      <w:kern w:val="2"/>
      <w:sz w:val="21"/>
      <w:szCs w:val="24"/>
    </w:rPr>
  </w:style>
  <w:style w:type="character" w:customStyle="1" w:styleId="33">
    <w:name w:val="批注主题 字符"/>
    <w:basedOn w:val="32"/>
    <w:link w:val="15"/>
    <w:autoRedefine/>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6697</Words>
  <Characters>7279</Characters>
  <Lines>63</Lines>
  <Paragraphs>17</Paragraphs>
  <TotalTime>52</TotalTime>
  <ScaleCrop>false</ScaleCrop>
  <LinksUpToDate>false</LinksUpToDate>
  <CharactersWithSpaces>7290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2024-04-30T09:38:00Z</dcterms:created>
  <dc:creator>admin</dc:creator>
  <cp:lastModifiedBy>御风</cp:lastModifiedBy>
  <dcterms:modified xsi:type="dcterms:W3CDTF">2024-06-05T09:04:03Z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888504119C9E4212B247568BFA25D7DC_12</vt:lpwstr>
  </property>
</Properties>
</file>